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sz w:val="44"/>
          <w:szCs w:val="36"/>
        </w:rPr>
      </w:pPr>
      <w:r>
        <w:rPr>
          <w:rFonts w:hint="eastAsia" w:ascii="方正小标宋简体" w:hAnsi="方正小标宋简体" w:eastAsia="方正小标宋简体" w:cs="方正小标宋简体"/>
          <w:sz w:val="44"/>
          <w:szCs w:val="36"/>
        </w:rPr>
        <w:t>湖北省房地产企业及从业人员信用综合评价</w:t>
      </w:r>
    </w:p>
    <w:p>
      <w:pPr>
        <w:spacing w:line="600" w:lineRule="exact"/>
        <w:jc w:val="center"/>
        <w:rPr>
          <w:rFonts w:ascii="方正小标宋简体" w:hAnsi="方正小标宋简体" w:eastAsia="方正小标宋简体" w:cs="方正小标宋简体"/>
          <w:sz w:val="44"/>
          <w:szCs w:val="36"/>
        </w:rPr>
      </w:pPr>
      <w:r>
        <w:rPr>
          <w:rFonts w:hint="eastAsia" w:ascii="方正小标宋简体" w:hAnsi="方正小标宋简体" w:eastAsia="方正小标宋简体" w:cs="方正小标宋简体"/>
          <w:sz w:val="44"/>
          <w:szCs w:val="36"/>
        </w:rPr>
        <w:t>管理办法（试行）</w:t>
      </w:r>
    </w:p>
    <w:p>
      <w:pPr>
        <w:spacing w:line="600" w:lineRule="exact"/>
        <w:jc w:val="center"/>
        <w:rPr>
          <w:rFonts w:ascii="楷体_GB2312" w:hAnsi="楷体_GB2312" w:eastAsia="楷体_GB2312" w:cs="楷体_GB2312"/>
        </w:rPr>
      </w:pPr>
      <w:bookmarkStart w:id="0" w:name="_GoBack"/>
      <w:bookmarkEnd w:id="0"/>
      <w:r>
        <w:rPr>
          <w:rFonts w:hint="eastAsia" w:ascii="楷体_GB2312" w:hAnsi="楷体_GB2312" w:eastAsia="楷体_GB2312" w:cs="楷体_GB2312"/>
        </w:rPr>
        <w:t>（征求意见稿）</w:t>
      </w:r>
    </w:p>
    <w:p>
      <w:pPr>
        <w:spacing w:line="600" w:lineRule="exact"/>
        <w:ind w:firstLine="640" w:firstLineChars="200"/>
      </w:pPr>
    </w:p>
    <w:p>
      <w:pPr>
        <w:spacing w:line="600" w:lineRule="exact"/>
        <w:jc w:val="center"/>
        <w:rPr>
          <w:rFonts w:ascii="黑体" w:hAnsi="黑体" w:eastAsia="黑体" w:cs="黑体"/>
        </w:rPr>
      </w:pPr>
      <w:r>
        <w:rPr>
          <w:rFonts w:hint="eastAsia" w:ascii="黑体" w:hAnsi="黑体" w:eastAsia="黑体" w:cs="黑体"/>
        </w:rPr>
        <w:t>第一章 总 则</w:t>
      </w:r>
    </w:p>
    <w:p>
      <w:pPr>
        <w:spacing w:line="600" w:lineRule="exact"/>
        <w:ind w:firstLine="642" w:firstLineChars="200"/>
      </w:pPr>
      <w:r>
        <w:rPr>
          <w:rFonts w:hint="eastAsia"/>
          <w:b/>
          <w:bCs/>
        </w:rPr>
        <w:t>第一条</w:t>
      </w:r>
      <w:r>
        <w:rPr>
          <w:rFonts w:hint="eastAsia"/>
        </w:rPr>
        <w:t xml:space="preserve">  为贯彻落实党中央、国务院关于促进房地产市场平稳健康发展的决策部署，加快推进房地产市场信用体系建设，根据《中华人民共和国城市房地产管理法》《城市房地产开发经营管理条例》《房地产开发企业资质管理规定》《物业管理条例》《资产评估法》《房地产估价机构管理办法》《注册房地产估价师管理办法》《房地产经纪管理办法》《国有土地上房屋征收与补偿条例》《城市危险房屋管理规定》等法律法规，结合我省实际，制定本办法。</w:t>
      </w:r>
    </w:p>
    <w:p>
      <w:pPr>
        <w:spacing w:line="600" w:lineRule="exact"/>
        <w:ind w:firstLine="642" w:firstLineChars="200"/>
      </w:pPr>
      <w:r>
        <w:rPr>
          <w:rFonts w:hint="eastAsia"/>
          <w:b/>
          <w:bCs/>
        </w:rPr>
        <w:t>第二条</w:t>
      </w:r>
      <w:r>
        <w:rPr>
          <w:rFonts w:hint="eastAsia"/>
        </w:rPr>
        <w:t xml:space="preserve">  对全省范围内房地产企业及其从业人员实施信用评价及监督管理，适用本办法。</w:t>
      </w:r>
    </w:p>
    <w:p>
      <w:pPr>
        <w:spacing w:line="600" w:lineRule="exact"/>
        <w:ind w:firstLine="640" w:firstLineChars="200"/>
      </w:pPr>
      <w:r>
        <w:rPr>
          <w:rFonts w:hint="eastAsia"/>
        </w:rPr>
        <w:t>本法所称的房地产企业及其从业人员包括房地产开发企业、物业服务企业、房地产估价机构、房地产经纪机构、房屋征迁实施单位和房屋安全鉴定机构及其从业人员。</w:t>
      </w:r>
    </w:p>
    <w:p>
      <w:pPr>
        <w:spacing w:line="600" w:lineRule="exact"/>
        <w:ind w:firstLine="642" w:firstLineChars="200"/>
      </w:pPr>
      <w:r>
        <w:rPr>
          <w:rFonts w:hint="eastAsia"/>
          <w:b/>
          <w:bCs/>
        </w:rPr>
        <w:t>第三条</w:t>
      </w:r>
      <w:r>
        <w:rPr>
          <w:rFonts w:hint="eastAsia"/>
        </w:rPr>
        <w:t xml:space="preserve">  房地产企业及其从业人员信用评价，是指根据登记注册一年以上的房地产企业及其从业人员的经营资质、从业资格、经营业绩、社会信誉、市场行为等情况，对企业的信用进行客观、公正和科学的评价，并以直观的形式表示评价结果的行为。</w:t>
      </w:r>
    </w:p>
    <w:p>
      <w:pPr>
        <w:spacing w:line="600" w:lineRule="exact"/>
        <w:ind w:firstLine="642" w:firstLineChars="200"/>
      </w:pPr>
      <w:r>
        <w:rPr>
          <w:rFonts w:hint="eastAsia"/>
          <w:b/>
          <w:bCs/>
        </w:rPr>
        <w:t>第四条</w:t>
      </w:r>
      <w:r>
        <w:rPr>
          <w:rFonts w:hint="eastAsia"/>
        </w:rPr>
        <w:t xml:space="preserve">  县（市、区）住房城乡建设主管部门负责本行政区域内房地产开发企业、物业服务企业、房地产估价机构、房地产经纪机构、房屋征迁实施单位和房屋安全鉴定机构的资料收集、核实工作。</w:t>
      </w:r>
    </w:p>
    <w:p>
      <w:pPr>
        <w:spacing w:line="600" w:lineRule="exact"/>
        <w:ind w:firstLine="640" w:firstLineChars="200"/>
      </w:pPr>
      <w:r>
        <w:rPr>
          <w:rFonts w:hint="eastAsia"/>
        </w:rPr>
        <w:t>市、州、直管市、神农架林区住房城乡建设主管部门负责本行政区域内房地产开发企业、物业服务企业、房地产估价机构、房地产经纪机构、房屋征迁实施单位和房屋安全鉴定机构的信用评价初评工作。其中，对于跨市域经营的企业，企业注册地和项目所在地的住房城乡建设主管部门要建立信息沟通共享机制，由企业向注册地主管部门申报资料。</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省级住房城乡建设主管部门负责全省房地产企业信用评价监督和指导，制定并定期修订信用评价指标体系、评分标准，统一公布信用评价结果；负责房地产估价机构和初评等级为A级及以上的房地产开发企业、物业服务企业、房地产经纪机构</w:t>
      </w:r>
      <w:r>
        <w:rPr>
          <w:rFonts w:hint="eastAsia"/>
        </w:rPr>
        <w:t>、房屋征迁实施单位和房屋安全鉴定机构</w:t>
      </w:r>
      <w:r>
        <w:rPr>
          <w:rFonts w:hint="eastAsia" w:ascii="仿宋_GB2312" w:hAnsi="仿宋_GB2312" w:cs="仿宋_GB2312"/>
          <w:szCs w:val="32"/>
        </w:rPr>
        <w:t>的信用评价。</w:t>
      </w:r>
    </w:p>
    <w:p>
      <w:pPr>
        <w:spacing w:line="600" w:lineRule="exact"/>
        <w:ind w:firstLine="640" w:firstLineChars="200"/>
      </w:pPr>
    </w:p>
    <w:p>
      <w:pPr>
        <w:spacing w:line="600" w:lineRule="exact"/>
        <w:jc w:val="center"/>
      </w:pPr>
      <w:r>
        <w:rPr>
          <w:rFonts w:hint="eastAsia" w:ascii="黑体" w:hAnsi="黑体" w:eastAsia="黑体" w:cs="黑体"/>
        </w:rPr>
        <w:t>第二章  信用信息采集</w:t>
      </w:r>
    </w:p>
    <w:p>
      <w:pPr>
        <w:spacing w:line="600" w:lineRule="exact"/>
        <w:ind w:firstLine="642" w:firstLineChars="200"/>
      </w:pPr>
      <w:r>
        <w:rPr>
          <w:rFonts w:hint="eastAsia"/>
          <w:b/>
          <w:bCs/>
        </w:rPr>
        <w:t>第五条</w:t>
      </w:r>
      <w:r>
        <w:rPr>
          <w:rFonts w:hint="eastAsia"/>
        </w:rPr>
        <w:t xml:space="preserve">  房地产企业及从业人员的信用信息由基本信息、良好信用信息、不良信用信息构成。</w:t>
      </w:r>
    </w:p>
    <w:p>
      <w:pPr>
        <w:spacing w:line="600" w:lineRule="exact"/>
        <w:ind w:firstLine="642" w:firstLineChars="200"/>
      </w:pPr>
      <w:r>
        <w:rPr>
          <w:rFonts w:hint="eastAsia"/>
          <w:b/>
          <w:bCs/>
        </w:rPr>
        <w:t>第六条</w:t>
      </w:r>
      <w:r>
        <w:rPr>
          <w:rFonts w:hint="eastAsia"/>
        </w:rPr>
        <w:t xml:space="preserve">  基本信息</w:t>
      </w:r>
    </w:p>
    <w:p>
      <w:pPr>
        <w:spacing w:line="600" w:lineRule="exact"/>
        <w:ind w:firstLine="640" w:firstLineChars="200"/>
      </w:pPr>
      <w:r>
        <w:rPr>
          <w:rFonts w:hint="eastAsia"/>
        </w:rPr>
        <w:t>房地产企业</w:t>
      </w:r>
      <w:r>
        <w:t>基本信息是指</w:t>
      </w:r>
      <w:r>
        <w:rPr>
          <w:rFonts w:hint="eastAsia"/>
        </w:rPr>
        <w:t>企业</w:t>
      </w:r>
      <w:r>
        <w:t>从事房地产</w:t>
      </w:r>
      <w:r>
        <w:rPr>
          <w:rFonts w:hint="eastAsia"/>
        </w:rPr>
        <w:t>行业</w:t>
      </w:r>
      <w:r>
        <w:t>登记的相关信息，包括：</w:t>
      </w:r>
      <w:r>
        <w:rPr>
          <w:rFonts w:hint="eastAsia"/>
        </w:rPr>
        <w:t>注册登记信息、资质等级、备案信息、经营业绩、主要人员、管理制度、关联企业</w:t>
      </w:r>
      <w:r>
        <w:t>等信息；</w:t>
      </w:r>
    </w:p>
    <w:p>
      <w:pPr>
        <w:spacing w:line="600" w:lineRule="exact"/>
        <w:ind w:firstLine="640" w:firstLineChars="200"/>
      </w:pPr>
      <w:r>
        <w:t>从业人员基本信息是指从业人员在从事房地产</w:t>
      </w:r>
      <w:r>
        <w:rPr>
          <w:rFonts w:hint="eastAsia"/>
        </w:rPr>
        <w:t>行业</w:t>
      </w:r>
      <w:r>
        <w:t>服务时需登记的相关信息，包括：</w:t>
      </w:r>
      <w:r>
        <w:rPr>
          <w:rFonts w:hint="eastAsia"/>
        </w:rPr>
        <w:t>个人基本信息（</w:t>
      </w:r>
      <w:r>
        <w:t>姓名、身份证号、</w:t>
      </w:r>
      <w:r>
        <w:rPr>
          <w:rFonts w:hint="eastAsia"/>
        </w:rPr>
        <w:t>联系方式、学历、政治面貌、</w:t>
      </w:r>
      <w:r>
        <w:t>所在机构、职务等</w:t>
      </w:r>
      <w:r>
        <w:rPr>
          <w:rFonts w:hint="eastAsia"/>
        </w:rPr>
        <w:t>）、工作经历、职业能力、从业时间等</w:t>
      </w:r>
      <w:r>
        <w:t>信息。</w:t>
      </w:r>
    </w:p>
    <w:p>
      <w:pPr>
        <w:spacing w:line="600" w:lineRule="exact"/>
        <w:ind w:firstLine="642" w:firstLineChars="200"/>
      </w:pPr>
      <w:r>
        <w:rPr>
          <w:rFonts w:hint="eastAsia"/>
          <w:b/>
          <w:bCs/>
        </w:rPr>
        <w:t>第七条</w:t>
      </w:r>
      <w:r>
        <w:rPr>
          <w:rFonts w:hint="eastAsia"/>
        </w:rPr>
        <w:t xml:space="preserve">  </w:t>
      </w:r>
      <w:r>
        <w:t>良好行为信息</w:t>
      </w:r>
    </w:p>
    <w:p>
      <w:pPr>
        <w:spacing w:line="600" w:lineRule="exact"/>
        <w:ind w:firstLine="640" w:firstLineChars="200"/>
      </w:pPr>
      <w:r>
        <w:rPr>
          <w:rFonts w:hint="eastAsia"/>
        </w:rPr>
        <w:t>房地产企业及从业人员</w:t>
      </w:r>
      <w:r>
        <w:t>良好行为信息是指</w:t>
      </w:r>
      <w:r>
        <w:rPr>
          <w:rFonts w:hint="eastAsia"/>
        </w:rPr>
        <w:t>在</w:t>
      </w:r>
      <w:r>
        <w:t>从事房地产</w:t>
      </w:r>
      <w:r>
        <w:rPr>
          <w:rFonts w:hint="eastAsia"/>
        </w:rPr>
        <w:t>开发、</w:t>
      </w:r>
      <w:r>
        <w:t>经纪</w:t>
      </w:r>
      <w:r>
        <w:rPr>
          <w:rFonts w:hint="eastAsia"/>
        </w:rPr>
        <w:t>、评估、征迁、安全鉴定、物业服务等</w:t>
      </w:r>
      <w:r>
        <w:t>活动中，受各级党委政府</w:t>
      </w:r>
      <w:r>
        <w:rPr>
          <w:rFonts w:hint="eastAsia"/>
        </w:rPr>
        <w:t>及部门</w:t>
      </w:r>
      <w:r>
        <w:t>、行业协会颁发的奖项和表彰等信息</w:t>
      </w:r>
      <w:r>
        <w:rPr>
          <w:rFonts w:hint="eastAsia"/>
        </w:rPr>
        <w:t>；</w:t>
      </w:r>
      <w:r>
        <w:rPr>
          <w:rFonts w:hint="eastAsia" w:ascii="仿宋_GB2312" w:hAnsi="仿宋_GB2312" w:cs="仿宋_GB2312"/>
          <w:szCs w:val="32"/>
        </w:rPr>
        <w:t>相关部门或行业协会认定的上年度为社会事业做出贡献、承担责任及在本行业、本领域中起到示范引领作用的信息。</w:t>
      </w:r>
    </w:p>
    <w:p>
      <w:pPr>
        <w:spacing w:line="600" w:lineRule="exact"/>
        <w:ind w:firstLine="642" w:firstLineChars="200"/>
      </w:pPr>
      <w:r>
        <w:rPr>
          <w:rFonts w:hint="eastAsia"/>
          <w:b/>
          <w:bCs/>
        </w:rPr>
        <w:t>第八条</w:t>
      </w:r>
      <w:r>
        <w:rPr>
          <w:rFonts w:hint="eastAsia"/>
        </w:rPr>
        <w:t xml:space="preserve">  </w:t>
      </w:r>
      <w:r>
        <w:t>不良行为信息</w:t>
      </w:r>
    </w:p>
    <w:p>
      <w:pPr>
        <w:spacing w:line="600" w:lineRule="exact"/>
        <w:ind w:firstLine="640" w:firstLineChars="200"/>
      </w:pPr>
      <w:r>
        <w:rPr>
          <w:rFonts w:hint="eastAsia"/>
        </w:rPr>
        <w:t>房地产企业</w:t>
      </w:r>
      <w:r>
        <w:t>从业人员</w:t>
      </w:r>
      <w:r>
        <w:rPr>
          <w:rFonts w:hint="eastAsia"/>
        </w:rPr>
        <w:t>不良行为信息</w:t>
      </w:r>
      <w:r>
        <w:t>是指在从事房地产</w:t>
      </w:r>
      <w:r>
        <w:rPr>
          <w:rFonts w:hint="eastAsia"/>
        </w:rPr>
        <w:t>开发、</w:t>
      </w:r>
      <w:r>
        <w:t>经纪</w:t>
      </w:r>
      <w:r>
        <w:rPr>
          <w:rFonts w:hint="eastAsia"/>
        </w:rPr>
        <w:t>、评估、征迁、安全鉴定、物业服务等</w:t>
      </w:r>
      <w:r>
        <w:t>活动中，经各级行政机关、司法机关或仲裁机构等认定的</w:t>
      </w:r>
      <w:r>
        <w:rPr>
          <w:rFonts w:hint="eastAsia" w:ascii="仿宋_GB2312" w:hAnsi="仿宋_GB2312" w:cs="仿宋_GB2312"/>
          <w:szCs w:val="32"/>
        </w:rPr>
        <w:t>违反相关法律法规政策和强制性标准等规定、违反公平竞争诚实守信原则、妨碍或干扰监督管理、扰乱房地产市场秩序等受到行政处罚等信息</w:t>
      </w:r>
      <w:r>
        <w:rPr>
          <w:rFonts w:hint="eastAsia"/>
        </w:rPr>
        <w:t>。</w:t>
      </w:r>
    </w:p>
    <w:p>
      <w:pPr>
        <w:spacing w:line="600" w:lineRule="exact"/>
        <w:ind w:firstLine="642" w:firstLineChars="200"/>
      </w:pPr>
      <w:r>
        <w:rPr>
          <w:rFonts w:hint="eastAsia"/>
          <w:b/>
          <w:bCs/>
        </w:rPr>
        <w:t>第九条</w:t>
      </w:r>
      <w:r>
        <w:rPr>
          <w:rFonts w:hint="eastAsia"/>
        </w:rPr>
        <w:t xml:space="preserve">  信用评价信息通过年报、房地产企业自主申报以及行政管理部门在事中事后监管中开展双随机检查、专项检查、投诉举报查处、行政处罚等工作进行采集。房地产企业及其法定代表人、从业人员在从事房地产活动中违反有关规定被行政处罚、追究刑事责任或通报批评等情形的，应当主动申报相关信息，接受扣分处理。</w:t>
      </w:r>
    </w:p>
    <w:p>
      <w:pPr>
        <w:spacing w:line="600" w:lineRule="exact"/>
        <w:ind w:firstLine="640" w:firstLineChars="200"/>
      </w:pPr>
    </w:p>
    <w:p>
      <w:pPr>
        <w:spacing w:line="600" w:lineRule="exact"/>
        <w:jc w:val="center"/>
      </w:pPr>
      <w:r>
        <w:rPr>
          <w:rFonts w:hint="eastAsia" w:ascii="黑体" w:hAnsi="黑体" w:eastAsia="黑体" w:cs="黑体"/>
        </w:rPr>
        <w:t>第三章  信用评价程序及等级</w:t>
      </w:r>
    </w:p>
    <w:p>
      <w:pPr>
        <w:spacing w:line="600" w:lineRule="exact"/>
        <w:ind w:firstLine="642" w:firstLineChars="200"/>
      </w:pPr>
      <w:r>
        <w:rPr>
          <w:rFonts w:hint="eastAsia"/>
          <w:b/>
        </w:rPr>
        <w:t>第十条</w:t>
      </w:r>
      <w:r>
        <w:rPr>
          <w:rFonts w:hint="eastAsia"/>
        </w:rPr>
        <w:t xml:space="preserve">  房地产企业及其从业人员信用评价定期评定工作按照以下程序进行：</w:t>
      </w:r>
    </w:p>
    <w:p>
      <w:pPr>
        <w:spacing w:line="560" w:lineRule="exact"/>
        <w:ind w:firstLine="640" w:firstLineChars="200"/>
      </w:pPr>
      <w:r>
        <w:rPr>
          <w:rFonts w:hint="eastAsia"/>
        </w:rPr>
        <w:t>（一）信息报送：房地产企业应当在每年2月20日前将企业和从业人员信用评价资料报送至县（市、区）住房城乡建设主管部门。县（市、区）住房城乡建设主管部门完成核实后，统一提交至设区市住房城乡建设主管部门。对参加评价的物业服务企业，县（市、区）住房城乡建设主管部门要征求物业服务项目所在地街道办事处（乡镇人民政府）、社区的意见。街道办事处（乡镇人民政府）应指导</w:t>
      </w:r>
      <w:r>
        <w:rPr>
          <w:rFonts w:hint="eastAsia" w:ascii="仿宋_GB2312" w:hAnsi="仿宋_GB2312" w:cs="仿宋_GB2312"/>
          <w:szCs w:val="32"/>
          <w:shd w:val="clear" w:color="auto" w:fill="FFFFFF"/>
        </w:rPr>
        <w:t>监督业主委员会、居（村）民委员会每年至少组织开展一次业主满意度评价</w:t>
      </w:r>
      <w:r>
        <w:rPr>
          <w:rFonts w:hint="eastAsia"/>
        </w:rPr>
        <w:t>。对于提交资料不全的企业，主管部门应当一次性告知其在5个工作日内补齐，仍未补齐的，按照每缺一项资料扣2分进行信用评分扣减。</w:t>
      </w:r>
    </w:p>
    <w:p>
      <w:pPr>
        <w:spacing w:line="600" w:lineRule="exact"/>
        <w:ind w:firstLine="640" w:firstLineChars="200"/>
      </w:pPr>
      <w:r>
        <w:rPr>
          <w:rFonts w:hint="eastAsia"/>
        </w:rPr>
        <w:t>（二）开展评价：市、州、直管市、神农架林区住房城乡建设主管部门对企业申报资料进行审核，并提出信用评价初评结果，于3月20日前统一报送省住房城乡建设主管部门。</w:t>
      </w:r>
    </w:p>
    <w:p>
      <w:pPr>
        <w:spacing w:line="600" w:lineRule="exact"/>
        <w:ind w:firstLine="640" w:firstLineChars="200"/>
      </w:pPr>
      <w:r>
        <w:rPr>
          <w:rFonts w:hint="eastAsia"/>
        </w:rPr>
        <w:t>（三）组织公示：省住房城乡建设主管部门应当在4月10日前将初评结论进行公示，公示期不少于5个工作日。在公示期内，若有异议向做出该评定结果的部门提出，由市、州、直管市、神农架林区住房城乡建设主管部门负责查证核实，并根据确认后的事实重新评定等级，于4月25日前将最终评定结果上报省级住房城乡建设主管部门，并公示不少于5个工作日。</w:t>
      </w:r>
    </w:p>
    <w:p>
      <w:pPr>
        <w:spacing w:line="600" w:lineRule="exact"/>
        <w:ind w:firstLine="640" w:firstLineChars="200"/>
      </w:pPr>
      <w:r>
        <w:rPr>
          <w:rFonts w:hint="eastAsia"/>
        </w:rPr>
        <w:t>（四）公布结果：5月10日前由省级住房城乡建设主管部门将最终评定结果统一公布。</w:t>
      </w:r>
    </w:p>
    <w:p>
      <w:pPr>
        <w:spacing w:line="600" w:lineRule="exact"/>
        <w:ind w:firstLine="642" w:firstLineChars="200"/>
      </w:pPr>
      <w:r>
        <w:rPr>
          <w:rFonts w:hint="eastAsia" w:ascii="仿宋_GB2312" w:hAnsi="仿宋_GB2312" w:cs="仿宋_GB2312"/>
          <w:b/>
          <w:bCs/>
          <w:szCs w:val="32"/>
        </w:rPr>
        <w:t>第十一条</w:t>
      </w:r>
      <w:r>
        <w:rPr>
          <w:rFonts w:hint="eastAsia" w:ascii="仿宋_GB2312" w:hAnsi="仿宋_GB2312" w:cs="仿宋_GB2312"/>
          <w:szCs w:val="32"/>
        </w:rPr>
        <w:t xml:space="preserve">  房地产企业申报资料通过湖北省住建系统数字化平台提交，原则上不再提交纸质资料（电子资料无法证明的除外），提交具体内容如下：房地产企业及从业人员信用评价申报表；企业及个人承诺书；资质证书、备案信息；经营业绩情况；其他有关资料。</w:t>
      </w:r>
    </w:p>
    <w:p>
      <w:pPr>
        <w:spacing w:line="600" w:lineRule="exact"/>
        <w:ind w:firstLine="642" w:firstLineChars="200"/>
      </w:pPr>
      <w:r>
        <w:rPr>
          <w:rFonts w:hint="eastAsia"/>
          <w:b/>
          <w:bCs/>
        </w:rPr>
        <w:t>第十二条</w:t>
      </w:r>
      <w:r>
        <w:rPr>
          <w:rFonts w:hint="eastAsia"/>
        </w:rPr>
        <w:t xml:space="preserve">  房地产企业及从业人员信用评价等级的评定采取信用分值综合评分制，赋基础综合评价分值100分，信用分值=基础综合评价分值（100分）</w:t>
      </w:r>
      <w:r>
        <w:rPr>
          <w:rFonts w:cstheme="minorHAnsi"/>
        </w:rPr>
        <w:t>+</w:t>
      </w:r>
      <w:r>
        <w:rPr>
          <w:rFonts w:hint="eastAsia"/>
        </w:rPr>
        <w:t>良好信用分值（50分）</w:t>
      </w:r>
      <w:r>
        <w:rPr>
          <w:rFonts w:cstheme="minorHAnsi"/>
        </w:rPr>
        <w:t>-</w:t>
      </w:r>
      <w:r>
        <w:rPr>
          <w:rFonts w:hint="eastAsia"/>
        </w:rPr>
        <w:t>不良信用分值。基础综合评价分值主要考察企业基础信息填报和年度信息报送。</w:t>
      </w:r>
    </w:p>
    <w:p>
      <w:pPr>
        <w:spacing w:line="600" w:lineRule="exact"/>
        <w:ind w:firstLine="640" w:firstLineChars="200"/>
      </w:pPr>
      <w:r>
        <w:rPr>
          <w:rFonts w:hint="eastAsia"/>
        </w:rPr>
        <w:t>根据综合评分结果，从高到低</w:t>
      </w:r>
      <w:r>
        <w:t>分为</w:t>
      </w:r>
      <w:r>
        <w:rPr>
          <w:rFonts w:hint="eastAsia"/>
        </w:rPr>
        <w:t>六</w:t>
      </w:r>
      <w:r>
        <w:t>级，分别为：</w:t>
      </w:r>
    </w:p>
    <w:p>
      <w:pPr>
        <w:spacing w:line="600" w:lineRule="exact"/>
        <w:ind w:firstLine="640" w:firstLineChars="200"/>
      </w:pPr>
      <w:r>
        <w:rPr>
          <w:rFonts w:hint="eastAsia"/>
        </w:rPr>
        <w:t>140</w:t>
      </w:r>
      <w:r>
        <w:t>分（含</w:t>
      </w:r>
      <w:r>
        <w:rPr>
          <w:rFonts w:hint="eastAsia"/>
        </w:rPr>
        <w:t>140</w:t>
      </w:r>
      <w:r>
        <w:t>分）及以上为AAA</w:t>
      </w:r>
      <w:r>
        <w:rPr>
          <w:rFonts w:hint="eastAsia"/>
        </w:rPr>
        <w:t>，</w:t>
      </w:r>
    </w:p>
    <w:p>
      <w:pPr>
        <w:spacing w:line="600" w:lineRule="exact"/>
        <w:ind w:firstLine="640" w:firstLineChars="200"/>
      </w:pPr>
      <w:r>
        <w:rPr>
          <w:rFonts w:hint="eastAsia"/>
        </w:rPr>
        <w:t>120</w:t>
      </w:r>
      <w:r>
        <w:t>分（含</w:t>
      </w:r>
      <w:r>
        <w:rPr>
          <w:rFonts w:hint="eastAsia"/>
        </w:rPr>
        <w:t>120</w:t>
      </w:r>
      <w:r>
        <w:t>分）-</w:t>
      </w:r>
      <w:r>
        <w:rPr>
          <w:rFonts w:hint="eastAsia"/>
        </w:rPr>
        <w:t>140</w:t>
      </w:r>
      <w:r>
        <w:t>分为AA</w:t>
      </w:r>
      <w:r>
        <w:rPr>
          <w:rFonts w:hint="eastAsia"/>
        </w:rPr>
        <w:t>，</w:t>
      </w:r>
    </w:p>
    <w:p>
      <w:pPr>
        <w:spacing w:line="600" w:lineRule="exact"/>
        <w:ind w:firstLine="640" w:firstLineChars="200"/>
      </w:pPr>
      <w:r>
        <w:rPr>
          <w:rFonts w:hint="eastAsia"/>
        </w:rPr>
        <w:t>90分</w:t>
      </w:r>
      <w:r>
        <w:t>（含</w:t>
      </w:r>
      <w:r>
        <w:rPr>
          <w:rFonts w:hint="eastAsia"/>
        </w:rPr>
        <w:t>90</w:t>
      </w:r>
      <w:r>
        <w:t>分）-</w:t>
      </w:r>
      <w:r>
        <w:rPr>
          <w:rFonts w:hint="eastAsia"/>
        </w:rPr>
        <w:t>120</w:t>
      </w:r>
      <w:r>
        <w:t>分</w:t>
      </w:r>
      <w:r>
        <w:rPr>
          <w:rFonts w:hint="eastAsia"/>
        </w:rPr>
        <w:t>为A，</w:t>
      </w:r>
    </w:p>
    <w:p>
      <w:pPr>
        <w:spacing w:line="600" w:lineRule="exact"/>
        <w:ind w:firstLine="640" w:firstLineChars="200"/>
      </w:pPr>
      <w:r>
        <w:rPr>
          <w:rFonts w:hint="eastAsia"/>
        </w:rPr>
        <w:t>80</w:t>
      </w:r>
      <w:r>
        <w:t>分（含</w:t>
      </w:r>
      <w:r>
        <w:rPr>
          <w:rFonts w:hint="eastAsia"/>
        </w:rPr>
        <w:t>80</w:t>
      </w:r>
      <w:r>
        <w:t>分）-</w:t>
      </w:r>
      <w:r>
        <w:rPr>
          <w:rFonts w:hint="eastAsia"/>
        </w:rPr>
        <w:t>9</w:t>
      </w:r>
      <w:r>
        <w:t>0分为</w:t>
      </w:r>
      <w:r>
        <w:rPr>
          <w:rFonts w:hint="eastAsia"/>
        </w:rPr>
        <w:t>B，</w:t>
      </w:r>
    </w:p>
    <w:p>
      <w:pPr>
        <w:spacing w:line="600" w:lineRule="exact"/>
        <w:ind w:firstLine="640" w:firstLineChars="200"/>
      </w:pPr>
      <w:r>
        <w:rPr>
          <w:rFonts w:hint="eastAsia"/>
        </w:rPr>
        <w:t>70</w:t>
      </w:r>
      <w:r>
        <w:t>分（含</w:t>
      </w:r>
      <w:r>
        <w:rPr>
          <w:rFonts w:hint="eastAsia"/>
        </w:rPr>
        <w:t>7</w:t>
      </w:r>
      <w:r>
        <w:t>0分）-</w:t>
      </w:r>
      <w:r>
        <w:rPr>
          <w:rFonts w:hint="eastAsia"/>
        </w:rPr>
        <w:t>80</w:t>
      </w:r>
      <w:r>
        <w:t>分为</w:t>
      </w:r>
      <w:r>
        <w:rPr>
          <w:rFonts w:hint="eastAsia"/>
        </w:rPr>
        <w:t>C，</w:t>
      </w:r>
    </w:p>
    <w:p>
      <w:pPr>
        <w:spacing w:line="600" w:lineRule="exact"/>
        <w:ind w:firstLine="640" w:firstLineChars="200"/>
      </w:pPr>
      <w:r>
        <w:rPr>
          <w:rFonts w:hint="eastAsia"/>
        </w:rPr>
        <w:t>7</w:t>
      </w:r>
      <w:r>
        <w:t>0分以下为</w:t>
      </w:r>
      <w:r>
        <w:rPr>
          <w:rFonts w:hint="eastAsia"/>
        </w:rPr>
        <w:t>D。</w:t>
      </w:r>
    </w:p>
    <w:p>
      <w:pPr>
        <w:spacing w:line="600" w:lineRule="exact"/>
        <w:ind w:firstLine="640" w:firstLineChars="200"/>
      </w:pPr>
      <w:r>
        <w:rPr>
          <w:rFonts w:hint="eastAsia"/>
        </w:rPr>
        <w:t>AA级以上为优秀，A级为良好，B级为一般，C级为较差，D级为失信。</w:t>
      </w:r>
    </w:p>
    <w:p>
      <w:pPr>
        <w:spacing w:line="600" w:lineRule="exact"/>
        <w:ind w:firstLine="642" w:firstLineChars="200"/>
      </w:pPr>
      <w:r>
        <w:rPr>
          <w:rFonts w:hint="eastAsia"/>
          <w:b/>
          <w:bCs/>
        </w:rPr>
        <w:t>第十三条</w:t>
      </w:r>
      <w:r>
        <w:rPr>
          <w:rFonts w:hint="eastAsia"/>
        </w:rPr>
        <w:t xml:space="preserve">  截至信用评价通知印发之日，两年内未从事房地产市场活动的房地产企业，原则上不参加当年信用评价，综合信用分计为100分，直接计入A级。房地产企业从业人员超过一年未从事房地产行业工作的，原则上不参加当年信用评价并不定信用等级。</w:t>
      </w:r>
    </w:p>
    <w:p>
      <w:pPr>
        <w:spacing w:line="600" w:lineRule="exact"/>
        <w:ind w:firstLine="642" w:firstLineChars="200"/>
      </w:pPr>
      <w:r>
        <w:rPr>
          <w:rFonts w:hint="eastAsia"/>
          <w:b/>
          <w:bCs/>
        </w:rPr>
        <w:t>第十四条</w:t>
      </w:r>
      <w:r>
        <w:rPr>
          <w:rFonts w:hint="eastAsia"/>
        </w:rPr>
        <w:t xml:space="preserve">  本办法实施前已产生的良好信用信息和不良信用信息，有效期限自相关文书生效之日起计算；本办法实施后产生的良好信用信息和不良信用信息，有效期自计分之日起计算。良好信用信息最高50分，同一奖励项中重复奖励的按最高奖励得分，不累计加分。不良信用信息扣分上不封顶，扣至企业信用信息量化得分为0分止。</w:t>
      </w:r>
    </w:p>
    <w:p>
      <w:pPr>
        <w:spacing w:line="600" w:lineRule="exact"/>
        <w:ind w:firstLine="642" w:firstLineChars="200"/>
      </w:pPr>
      <w:r>
        <w:rPr>
          <w:rFonts w:hint="eastAsia"/>
          <w:b/>
          <w:bCs/>
        </w:rPr>
        <w:t xml:space="preserve">第十五条  </w:t>
      </w:r>
      <w:r>
        <w:rPr>
          <w:rFonts w:hint="eastAsia"/>
        </w:rPr>
        <w:t>房地产企业及从业人员信用评价采取定期评定加动态考核的办法，企业发生信用评价指标体系中不良信用信息、一票否决项等可能影响信用等级的，实施动态评定，由住房城乡建设主管部门重新评定信用等级。</w:t>
      </w:r>
    </w:p>
    <w:p>
      <w:pPr>
        <w:spacing w:line="600" w:lineRule="exact"/>
        <w:ind w:firstLine="642" w:firstLineChars="200"/>
        <w:rPr>
          <w:rFonts w:ascii="仿宋_GB2312" w:hAnsi="仿宋_GB2312" w:cs="仿宋_GB2312"/>
          <w:szCs w:val="32"/>
        </w:rPr>
      </w:pPr>
      <w:r>
        <w:rPr>
          <w:rFonts w:hint="eastAsia" w:ascii="仿宋_GB2312" w:hAnsi="仿宋_GB2312" w:cs="仿宋_GB2312"/>
          <w:b/>
          <w:szCs w:val="32"/>
        </w:rPr>
        <w:t>第十六条</w:t>
      </w:r>
      <w:r>
        <w:rPr>
          <w:rFonts w:hint="eastAsia" w:ascii="仿宋_GB2312" w:hAnsi="仿宋_GB2312" w:cs="仿宋_GB2312"/>
          <w:szCs w:val="32"/>
        </w:rPr>
        <w:t xml:space="preserve">  </w:t>
      </w:r>
      <w:r>
        <w:rPr>
          <w:rFonts w:hint="eastAsia"/>
        </w:rPr>
        <w:t>房地产企业及从业人员有</w:t>
      </w:r>
      <w:r>
        <w:rPr>
          <w:rFonts w:hint="eastAsia" w:ascii="仿宋_GB2312" w:hAnsi="仿宋_GB2312" w:cs="仿宋_GB2312"/>
          <w:szCs w:val="32"/>
        </w:rPr>
        <w:t>重大失信行为的，扣分后分值仍在69分以上的，直接降为69分，评为D级：</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（一）因评价对象责任，导致发生较大及以上安全事故的；</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（二）因评价对象原因发生群体性上访、围堵党政机关、堵塞城市道路等社会公共事件，造成严重不良影响的。</w:t>
      </w:r>
    </w:p>
    <w:p>
      <w:pPr>
        <w:spacing w:line="600" w:lineRule="exact"/>
        <w:ind w:firstLine="640" w:firstLineChars="200"/>
        <w:rPr>
          <w:highlight w:val="yellow"/>
        </w:rPr>
      </w:pPr>
      <w:r>
        <w:rPr>
          <w:rFonts w:hint="eastAsia" w:ascii="仿宋_GB2312" w:hAnsi="仿宋_GB2312" w:cs="仿宋_GB2312"/>
          <w:szCs w:val="32"/>
        </w:rPr>
        <w:t>（三）应当参加但未按本办法规定参加信用评价管理的。</w:t>
      </w:r>
    </w:p>
    <w:p>
      <w:pPr>
        <w:pStyle w:val="2"/>
        <w:spacing w:line="600" w:lineRule="exact"/>
        <w:rPr>
          <w:rFonts w:ascii="仿宋_GB2312" w:hAnsi="仿宋_GB2312" w:cs="仿宋_GB2312"/>
          <w:sz w:val="32"/>
          <w:szCs w:val="32"/>
        </w:rPr>
      </w:pPr>
    </w:p>
    <w:p>
      <w:pPr>
        <w:spacing w:line="600" w:lineRule="exact"/>
        <w:jc w:val="center"/>
        <w:rPr>
          <w:rFonts w:ascii="黑体" w:hAnsi="黑体" w:eastAsia="黑体" w:cs="黑体"/>
        </w:rPr>
      </w:pPr>
      <w:r>
        <w:rPr>
          <w:rFonts w:hint="eastAsia" w:ascii="黑体" w:hAnsi="黑体" w:eastAsia="黑体" w:cs="黑体"/>
        </w:rPr>
        <w:t>第四章  评价结果应用及信用修复</w:t>
      </w:r>
    </w:p>
    <w:p>
      <w:pPr>
        <w:spacing w:line="600" w:lineRule="exact"/>
        <w:ind w:firstLine="642" w:firstLineChars="200"/>
      </w:pPr>
      <w:r>
        <w:rPr>
          <w:rFonts w:hint="eastAsia"/>
          <w:b/>
          <w:bCs/>
        </w:rPr>
        <w:t>第十七条</w:t>
      </w:r>
      <w:r>
        <w:rPr>
          <w:rFonts w:hint="eastAsia"/>
        </w:rPr>
        <w:t xml:space="preserve">  房地产企业及从业人员信用评价应当遵循守信激励、失信惩戒的原则，各级住房城乡建设主管部门依据信用等级对房地产企业及从业人员分类实施差异化管理。</w:t>
      </w:r>
    </w:p>
    <w:p>
      <w:pPr>
        <w:spacing w:line="600" w:lineRule="exact"/>
        <w:ind w:firstLine="642" w:firstLineChars="200"/>
      </w:pPr>
      <w:r>
        <w:rPr>
          <w:rFonts w:hint="eastAsia"/>
          <w:b/>
          <w:bCs/>
        </w:rPr>
        <w:t>第十八条</w:t>
      </w:r>
      <w:r>
        <w:rPr>
          <w:rFonts w:hint="eastAsia"/>
        </w:rPr>
        <w:t xml:space="preserve">  对信用等级评定为AA级以上的房地产企业，可优先推荐参与各级评比表彰；可优先推荐参与政府重大项目或企业大型项目招投标活动；优先推荐企业管理人员参加国家、省级专家库成员评选；加大宣传推广力度，酌情减少日常检查、专项检查频次；根据当地情况给予其他优惠政策支持。</w:t>
      </w:r>
    </w:p>
    <w:p>
      <w:pPr>
        <w:spacing w:line="600" w:lineRule="exact"/>
        <w:ind w:firstLine="640" w:firstLineChars="200"/>
      </w:pPr>
      <w:r>
        <w:rPr>
          <w:rFonts w:hint="eastAsia"/>
        </w:rPr>
        <w:t>对信用等级评定为AA级的房地产开发企业，在施工进度达主体工程±0.00以上到项目基本建成期间的5个拨付节点，可适当降低其节点留存重点监管资金额度，每个节点降低的比例不得超过5%；对信用等级评定为AA级的物业服务企业，在参加物业服务项目招投标时可作为加分的参考依据之一；对信用等级评定为AA级的房地产估价机构，银行、法院等相关部门的房地产估价业务在同等条件下可考虑优先选择；对信用等级评定为AA级的房地产经纪机构，可优先办理房屋交易等手续，可申请存量房交易网签便民服务点。</w:t>
      </w:r>
    </w:p>
    <w:p>
      <w:pPr>
        <w:spacing w:line="600" w:lineRule="exact"/>
        <w:ind w:firstLine="642" w:firstLineChars="200"/>
      </w:pPr>
      <w:r>
        <w:rPr>
          <w:rFonts w:hint="eastAsia"/>
          <w:b/>
          <w:bCs/>
        </w:rPr>
        <w:t>第十九条</w:t>
      </w:r>
      <w:r>
        <w:rPr>
          <w:rFonts w:hint="eastAsia"/>
        </w:rPr>
        <w:t xml:space="preserve">  对信用等级评定为A级的房地产企业，实施正常监管。</w:t>
      </w:r>
    </w:p>
    <w:p>
      <w:pPr>
        <w:spacing w:line="600" w:lineRule="exact"/>
        <w:ind w:firstLine="642" w:firstLineChars="200"/>
      </w:pPr>
      <w:r>
        <w:rPr>
          <w:rFonts w:hint="eastAsia"/>
          <w:b/>
          <w:bCs/>
        </w:rPr>
        <w:t>第二十条</w:t>
      </w:r>
      <w:r>
        <w:rPr>
          <w:rFonts w:hint="eastAsia"/>
        </w:rPr>
        <w:t xml:space="preserve">  对信用等级评定为B级的房地产企业，强化监督检查，必要时将其列入重点监管对象。</w:t>
      </w:r>
    </w:p>
    <w:p>
      <w:pPr>
        <w:spacing w:line="600" w:lineRule="exact"/>
        <w:ind w:firstLine="642" w:firstLineChars="200"/>
        <w:rPr>
          <w:rFonts w:ascii="仿宋_GB2312" w:hAnsi="仿宋_GB2312" w:cs="仿宋_GB2312"/>
          <w:szCs w:val="32"/>
        </w:rPr>
      </w:pPr>
      <w:r>
        <w:rPr>
          <w:rFonts w:hint="eastAsia"/>
          <w:b/>
          <w:bCs/>
        </w:rPr>
        <w:t>第二十一条</w:t>
      </w:r>
      <w:r>
        <w:rPr>
          <w:rFonts w:hint="eastAsia"/>
        </w:rPr>
        <w:t xml:space="preserve">  对信用等级评定为C级的房地产企业，实施以下监</w:t>
      </w:r>
      <w:r>
        <w:rPr>
          <w:rFonts w:hint="eastAsia" w:ascii="仿宋_GB2312" w:hAnsi="仿宋_GB2312" w:cs="仿宋_GB2312"/>
          <w:szCs w:val="32"/>
        </w:rPr>
        <w:t>管措施：</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（一）限制企业及其法定代表人、出资人参加各类表彰、评先、评优活动。</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（二）向自然资源管理部门、市场监管部门发出预警提示。</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（三）列入重点监管对象，增加检查频次，加大检查力度。</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四）房地产开发企业的商品房预售监管资金节点留存重点额度提高5%；对房地产经纪机构的商品房交易资金使用实行全过程严格监管；对物业服务企业限制其在信用评价报告有效期内参与政府项目招投标和前期物业管理项目，并由街道办事处将信用信息通报有关业主、业主委员会（物业管理委员会）、社区居民委员会，提示信用风险。</w:t>
      </w:r>
    </w:p>
    <w:p>
      <w:pPr>
        <w:spacing w:line="600" w:lineRule="exact"/>
        <w:ind w:firstLine="642" w:firstLineChars="200"/>
      </w:pPr>
      <w:r>
        <w:rPr>
          <w:rFonts w:hint="eastAsia"/>
          <w:b/>
          <w:bCs/>
        </w:rPr>
        <w:t>第二十二条</w:t>
      </w:r>
      <w:r>
        <w:rPr>
          <w:rFonts w:hint="eastAsia"/>
        </w:rPr>
        <w:t xml:space="preserve">  对信用等级评定为D级的房地产企业，实施以下监</w:t>
      </w:r>
      <w:r>
        <w:rPr>
          <w:rFonts w:hint="eastAsia" w:ascii="仿宋_GB2312" w:hAnsi="仿宋_GB2312" w:cs="仿宋_GB2312"/>
          <w:szCs w:val="32"/>
        </w:rPr>
        <w:t>管措施：</w:t>
      </w:r>
    </w:p>
    <w:p>
      <w:pPr>
        <w:spacing w:line="600" w:lineRule="exact"/>
        <w:ind w:firstLine="640" w:firstLineChars="200"/>
        <w:rPr>
          <w:rFonts w:ascii="仿宋_GB2312" w:hAnsi="仿宋_GB2312" w:cs="仿宋_GB2312"/>
          <w:szCs w:val="32"/>
        </w:rPr>
      </w:pPr>
      <w:r>
        <w:rPr>
          <w:rFonts w:hint="eastAsia"/>
        </w:rPr>
        <w:t>（一）</w:t>
      </w:r>
      <w:r>
        <w:rPr>
          <w:rFonts w:hint="eastAsia" w:ascii="仿宋_GB2312" w:hAnsi="仿宋_GB2312" w:cs="仿宋_GB2312"/>
          <w:szCs w:val="32"/>
        </w:rPr>
        <w:t>限制企业及其法定代表人、出资人参加各类表彰、评先、评优活动。</w:t>
      </w:r>
    </w:p>
    <w:p>
      <w:pPr>
        <w:spacing w:line="600" w:lineRule="exact"/>
        <w:ind w:firstLine="640" w:firstLineChars="200"/>
      </w:pPr>
      <w:r>
        <w:rPr>
          <w:rFonts w:hint="eastAsia"/>
        </w:rPr>
        <w:t>（二）向市场监管、发改、自然资源、行政审批、税务、法院、人民银行、银监等部门发出预警。相关部门或单位，在各自职能或业务范围内对相关市场主体及个人进行监督管理或业务办理时，应当参考行业主管部门提供的房地产开发企业诚信信息，加强日常监管和核查。禁止作为供应商参加政府采购活动；限制参与政府投资公共工程建设的投标活动。</w:t>
      </w:r>
    </w:p>
    <w:p>
      <w:pPr>
        <w:spacing w:line="600" w:lineRule="exact"/>
        <w:ind w:firstLine="640" w:firstLineChars="200"/>
      </w:pPr>
      <w:r>
        <w:rPr>
          <w:rFonts w:hint="eastAsia"/>
        </w:rPr>
        <w:t>（三）</w:t>
      </w:r>
      <w:r>
        <w:rPr>
          <w:rFonts w:hint="eastAsia" w:ascii="仿宋_GB2312" w:hAnsi="仿宋_GB2312" w:cs="仿宋_GB2312"/>
          <w:szCs w:val="32"/>
        </w:rPr>
        <w:t>房地产开发企业的</w:t>
      </w:r>
      <w:r>
        <w:rPr>
          <w:rFonts w:hint="eastAsia"/>
        </w:rPr>
        <w:t>预售许可形象进度比例提高到楼盘封顶；对预售资金实行全额监管，对开发企业商品房预售资金使用实行全过程严格监管。</w:t>
      </w:r>
    </w:p>
    <w:p>
      <w:pPr>
        <w:spacing w:line="600" w:lineRule="exact"/>
        <w:ind w:firstLine="640" w:firstLineChars="200"/>
      </w:pPr>
      <w:r>
        <w:rPr>
          <w:rFonts w:hint="eastAsia"/>
        </w:rPr>
        <w:t>（四）暂停相关资质证书的评审，对已取得资质证书的，依法依规对其资质作撤销或降级处理，并予以公开曝光。</w:t>
      </w:r>
    </w:p>
    <w:p>
      <w:pPr>
        <w:spacing w:line="600" w:lineRule="exact"/>
        <w:ind w:firstLine="642" w:firstLineChars="200"/>
      </w:pPr>
      <w:r>
        <w:rPr>
          <w:rFonts w:hint="eastAsia"/>
          <w:b/>
          <w:bCs/>
        </w:rPr>
        <w:t>第二十三条</w:t>
      </w:r>
      <w:r>
        <w:rPr>
          <w:rFonts w:hint="eastAsia"/>
        </w:rPr>
        <w:t xml:space="preserve">  房地产企业从业人员推行“一人一卡一号”，实行实名登记制度。住房和城乡建设部门负责开通扫码查询信用积分通道，以便社会公众监督和查询。</w:t>
      </w:r>
    </w:p>
    <w:p>
      <w:pPr>
        <w:spacing w:line="600" w:lineRule="exact"/>
        <w:ind w:firstLine="640" w:firstLineChars="200"/>
        <w:rPr>
          <w:rFonts w:ascii="仿宋_GB2312"/>
        </w:rPr>
      </w:pPr>
      <w:r>
        <w:rPr>
          <w:rFonts w:hint="eastAsia" w:ascii="仿宋_GB2312"/>
        </w:rPr>
        <w:t>（一）房地产企业从业人员信用等级评定为</w:t>
      </w:r>
      <w:r>
        <w:rPr>
          <w:rFonts w:hint="eastAsia"/>
        </w:rPr>
        <w:t>AA</w:t>
      </w:r>
      <w:r>
        <w:rPr>
          <w:rFonts w:hint="eastAsia" w:ascii="仿宋_GB2312"/>
        </w:rPr>
        <w:t>级及以上的，可优先推荐参与各级评比表彰；优先推荐参加国家、省级专家库成员评选。</w:t>
      </w:r>
    </w:p>
    <w:p>
      <w:pPr>
        <w:spacing w:line="600" w:lineRule="exact"/>
        <w:ind w:firstLine="640" w:firstLineChars="200"/>
        <w:rPr>
          <w:rFonts w:ascii="仿宋_GB2312"/>
        </w:rPr>
      </w:pPr>
      <w:r>
        <w:rPr>
          <w:rFonts w:hint="eastAsia" w:ascii="仿宋_GB2312"/>
        </w:rPr>
        <w:t>（二）房地产企业从业人员信用等级评定为B级、C级的，责令限期整改，信用等级评定为D级的，限制从业。</w:t>
      </w:r>
    </w:p>
    <w:p>
      <w:pPr>
        <w:widowControl/>
        <w:spacing w:line="600" w:lineRule="exact"/>
        <w:ind w:firstLine="642" w:firstLineChars="200"/>
      </w:pPr>
      <w:r>
        <w:rPr>
          <w:rFonts w:hint="eastAsia"/>
          <w:b/>
          <w:bCs/>
        </w:rPr>
        <w:t>第二十四条</w:t>
      </w:r>
      <w:r>
        <w:rPr>
          <w:rFonts w:hint="eastAsia"/>
        </w:rPr>
        <w:t xml:space="preserve">  实行房地产企业信用评价关联管理，对信用等级为D级的房地产企业及其法定代表人和出资人，将其失信行为纳入相应人员信用信息管理。</w:t>
      </w:r>
    </w:p>
    <w:p>
      <w:pPr>
        <w:spacing w:line="600" w:lineRule="exact"/>
        <w:ind w:firstLine="642" w:firstLineChars="200"/>
      </w:pPr>
      <w:r>
        <w:rPr>
          <w:rFonts w:hint="eastAsia"/>
          <w:b/>
          <w:bCs/>
        </w:rPr>
        <w:t>第二十五条</w:t>
      </w:r>
      <w:r>
        <w:rPr>
          <w:rFonts w:hint="eastAsia"/>
        </w:rPr>
        <w:t xml:space="preserve">  省、市住房城乡建设主管部门定期将房地产企业信用评价结果通报同级市场监管、发展改革、自然资源、税务、法院、人民银行、行政审批等部门，作为各部门对房地产企业联合监管以及银行等金融机构开展金融服务的参考依据。</w:t>
      </w:r>
    </w:p>
    <w:p>
      <w:pPr>
        <w:spacing w:line="600" w:lineRule="exact"/>
        <w:ind w:firstLine="642" w:firstLineChars="200"/>
      </w:pPr>
      <w:r>
        <w:rPr>
          <w:rFonts w:hint="eastAsia"/>
          <w:b/>
          <w:bCs/>
        </w:rPr>
        <w:t>第二十六条</w:t>
      </w:r>
      <w:r>
        <w:rPr>
          <w:rFonts w:hint="eastAsia"/>
        </w:rPr>
        <w:t xml:space="preserve">  对于符合信用修复条件的行政处罚信息，企业在规定公示期内依法纠正失信行为、消除不良影响的，可通过作出信用修复承诺、完成信用整改、接受专题培训等方式开展信用修复。经企业提出申请，并经相应主管部门核实已完成整改的，可重新评定信用等级。严重不良信用信息修复按有关程序办理，以实际办理期限为计分周期。</w:t>
      </w:r>
    </w:p>
    <w:p>
      <w:pPr>
        <w:spacing w:line="600" w:lineRule="exact"/>
        <w:jc w:val="center"/>
      </w:pPr>
    </w:p>
    <w:p>
      <w:pPr>
        <w:spacing w:line="600" w:lineRule="exact"/>
        <w:jc w:val="center"/>
        <w:rPr>
          <w:rFonts w:ascii="黑体" w:hAnsi="黑体" w:eastAsia="黑体" w:cs="黑体"/>
        </w:rPr>
      </w:pPr>
      <w:r>
        <w:rPr>
          <w:rFonts w:hint="eastAsia" w:ascii="黑体" w:hAnsi="黑体" w:eastAsia="黑体" w:cs="黑体"/>
        </w:rPr>
        <w:t>第五章  监督管理</w:t>
      </w:r>
    </w:p>
    <w:p>
      <w:pPr>
        <w:spacing w:line="600" w:lineRule="exact"/>
        <w:ind w:firstLine="642" w:firstLineChars="200"/>
      </w:pPr>
      <w:r>
        <w:rPr>
          <w:rFonts w:hint="eastAsia"/>
          <w:b/>
          <w:bCs/>
        </w:rPr>
        <w:t>第二十七条</w:t>
      </w:r>
      <w:r>
        <w:rPr>
          <w:rFonts w:hint="eastAsia"/>
        </w:rPr>
        <w:t xml:space="preserve">  各级住房城乡建设主管部门应当根据信用评价情况，加强监督管理，规范房地产市场秩序。</w:t>
      </w:r>
    </w:p>
    <w:p>
      <w:pPr>
        <w:spacing w:line="600" w:lineRule="exact"/>
        <w:ind w:firstLine="642" w:firstLineChars="200"/>
      </w:pPr>
      <w:r>
        <w:rPr>
          <w:rFonts w:hint="eastAsia"/>
          <w:b/>
          <w:bCs/>
        </w:rPr>
        <w:t>第二十八条</w:t>
      </w:r>
      <w:r>
        <w:rPr>
          <w:rFonts w:hint="eastAsia"/>
        </w:rPr>
        <w:t xml:space="preserve">  各级住房城乡建设主管部门应当严格按照程序进行信用评价，建立审查责任追究制度。从事信用评价工作的相关人员应当认真履行职责，不得徇私舞弊、玩忽职守、滥用职权，不得索取或者收受企业财物、牟取其他利益或者向外界透露、传播企业商业秘密，不得擅自篡改评价结果，违者依法追究相关责任。</w:t>
      </w:r>
    </w:p>
    <w:p>
      <w:pPr>
        <w:spacing w:line="600" w:lineRule="exact"/>
        <w:jc w:val="center"/>
        <w:rPr>
          <w:rFonts w:ascii="黑体" w:hAnsi="黑体" w:eastAsia="黑体" w:cs="黑体"/>
        </w:rPr>
      </w:pPr>
    </w:p>
    <w:p>
      <w:pPr>
        <w:spacing w:line="600" w:lineRule="exact"/>
        <w:jc w:val="center"/>
        <w:rPr>
          <w:rFonts w:ascii="黑体" w:hAnsi="黑体" w:eastAsia="黑体" w:cs="黑体"/>
        </w:rPr>
      </w:pPr>
      <w:r>
        <w:rPr>
          <w:rFonts w:hint="eastAsia" w:ascii="黑体" w:hAnsi="黑体" w:eastAsia="黑体" w:cs="黑体"/>
        </w:rPr>
        <w:t>第六章  附则</w:t>
      </w:r>
    </w:p>
    <w:p>
      <w:pPr>
        <w:spacing w:line="600" w:lineRule="exact"/>
        <w:ind w:firstLine="642" w:firstLineChars="200"/>
      </w:pPr>
      <w:r>
        <w:rPr>
          <w:rFonts w:hint="eastAsia"/>
          <w:b/>
          <w:bCs/>
        </w:rPr>
        <w:t>第二十九条</w:t>
      </w:r>
      <w:r>
        <w:rPr>
          <w:rFonts w:hint="eastAsia"/>
        </w:rPr>
        <w:t xml:space="preserve">  本办法自2023年  月  日起实施，有效期2年。</w:t>
      </w:r>
    </w:p>
    <w:p>
      <w:pPr>
        <w:spacing w:line="600" w:lineRule="exact"/>
        <w:ind w:firstLine="640" w:firstLineChars="200"/>
      </w:pPr>
    </w:p>
    <w:p>
      <w:pPr>
        <w:spacing w:line="600" w:lineRule="exact"/>
        <w:ind w:firstLine="640" w:firstLineChars="200"/>
      </w:pPr>
    </w:p>
    <w:p>
      <w:pPr>
        <w:spacing w:line="560" w:lineRule="exact"/>
        <w:rPr>
          <w:rFonts w:ascii="黑体" w:hAnsi="黑体" w:eastAsia="黑体" w:cs="黑体"/>
          <w:bCs/>
        </w:rPr>
      </w:pPr>
      <w:r>
        <w:rPr>
          <w:rFonts w:hint="eastAsia" w:ascii="黑体" w:hAnsi="黑体" w:eastAsia="黑体" w:cs="黑体"/>
          <w:bCs/>
        </w:rPr>
        <w:t>附件：</w:t>
      </w:r>
    </w:p>
    <w:p>
      <w:pPr>
        <w:spacing w:line="560" w:lineRule="exact"/>
        <w:ind w:firstLine="640" w:firstLineChars="200"/>
      </w:pPr>
      <w:r>
        <w:rPr>
          <w:rFonts w:hint="eastAsia"/>
        </w:rPr>
        <w:t>1.湖北省房地产开发企业信用评价评分表</w:t>
      </w:r>
    </w:p>
    <w:p>
      <w:pPr>
        <w:spacing w:line="560" w:lineRule="exact"/>
        <w:ind w:firstLine="640" w:firstLineChars="200"/>
      </w:pPr>
      <w:r>
        <w:rPr>
          <w:rFonts w:hint="eastAsia"/>
        </w:rPr>
        <w:t>2.湖北省房地产经纪机构信用评价评分表</w:t>
      </w:r>
    </w:p>
    <w:p>
      <w:pPr>
        <w:spacing w:line="560" w:lineRule="exact"/>
        <w:ind w:firstLine="640" w:firstLineChars="200"/>
      </w:pPr>
      <w:r>
        <w:rPr>
          <w:rFonts w:hint="eastAsia"/>
        </w:rPr>
        <w:t>3.湖北省房地产经纪人员信用评价评分表</w:t>
      </w:r>
    </w:p>
    <w:p>
      <w:pPr>
        <w:spacing w:line="560" w:lineRule="exact"/>
        <w:ind w:firstLine="640" w:firstLineChars="200"/>
      </w:pPr>
      <w:r>
        <w:rPr>
          <w:rFonts w:hint="eastAsia"/>
        </w:rPr>
        <w:t>4.湖北省物业服务企业信用评价评分表</w:t>
      </w:r>
    </w:p>
    <w:p>
      <w:pPr>
        <w:spacing w:line="560" w:lineRule="exact"/>
        <w:ind w:firstLine="640" w:firstLineChars="200"/>
      </w:pPr>
      <w:r>
        <w:rPr>
          <w:rFonts w:hint="eastAsia"/>
        </w:rPr>
        <w:t>5.湖北省物业服务项目负责人信用信息评价评分表</w:t>
      </w:r>
    </w:p>
    <w:p>
      <w:pPr>
        <w:spacing w:line="560" w:lineRule="exact"/>
        <w:ind w:firstLine="640" w:firstLineChars="200"/>
      </w:pPr>
      <w:r>
        <w:rPr>
          <w:rFonts w:hint="eastAsia"/>
        </w:rPr>
        <w:t>6湖北省房地产估价机构信用评价评分表</w:t>
      </w:r>
    </w:p>
    <w:p>
      <w:pPr>
        <w:spacing w:line="560" w:lineRule="exact"/>
        <w:ind w:firstLine="640" w:firstLineChars="200"/>
      </w:pPr>
      <w:r>
        <w:rPr>
          <w:rFonts w:hint="eastAsia"/>
        </w:rPr>
        <w:t>7.湖北省房地产估价机构从业人员信用评价评分表</w:t>
      </w:r>
    </w:p>
    <w:p>
      <w:pPr>
        <w:spacing w:line="560" w:lineRule="exact"/>
        <w:ind w:firstLine="640" w:firstLineChars="200"/>
      </w:pPr>
      <w:r>
        <w:rPr>
          <w:rFonts w:hint="eastAsia"/>
        </w:rPr>
        <w:t>8.湖北省房地产征迁实施单位信用评价评分表</w:t>
      </w:r>
    </w:p>
    <w:p>
      <w:pPr>
        <w:spacing w:line="560" w:lineRule="exact"/>
        <w:ind w:firstLine="640" w:firstLineChars="200"/>
      </w:pPr>
      <w:r>
        <w:rPr>
          <w:rFonts w:hint="eastAsia"/>
        </w:rPr>
        <w:t>9.湖北省房地产安全鉴定机构信用评价评分表</w:t>
      </w:r>
    </w:p>
    <w:p>
      <w:pPr>
        <w:pStyle w:val="7"/>
        <w:widowControl/>
        <w:shd w:val="clear" w:color="auto" w:fill="FFFFFF"/>
        <w:spacing w:beforeAutospacing="0" w:afterAutospacing="0"/>
        <w:ind w:firstLine="640" w:firstLineChars="200"/>
        <w:jc w:val="both"/>
        <w:rPr>
          <w:rFonts w:cstheme="minorBidi"/>
          <w:kern w:val="2"/>
          <w:sz w:val="32"/>
        </w:rPr>
      </w:pPr>
      <w:r>
        <w:rPr>
          <w:rFonts w:hint="eastAsia" w:cstheme="minorBidi"/>
          <w:kern w:val="2"/>
          <w:sz w:val="32"/>
        </w:rPr>
        <w:t>10.湖北省房地产企业信用等级评价申报表</w:t>
      </w:r>
    </w:p>
    <w:p>
      <w:pPr>
        <w:ind w:firstLine="640" w:firstLineChars="200"/>
      </w:pPr>
      <w:r>
        <w:rPr>
          <w:rFonts w:hint="eastAsia"/>
        </w:rPr>
        <w:t>11.湖北省房地产企业从业人员信用等级评价申报表</w:t>
      </w:r>
    </w:p>
    <w:p>
      <w:pPr>
        <w:sectPr>
          <w:footerReference r:id="rId3" w:type="default"/>
          <w:pgSz w:w="11906" w:h="16838"/>
          <w:pgMar w:top="2211" w:right="1531" w:bottom="1871" w:left="1531" w:header="851" w:footer="992" w:gutter="0"/>
          <w:cols w:space="425" w:num="1"/>
          <w:docGrid w:type="lines" w:linePitch="312" w:charSpace="0"/>
        </w:sectPr>
      </w:pPr>
      <w:r>
        <w:rPr>
          <w:rFonts w:hint="eastAsia"/>
        </w:rPr>
        <w:br w:type="page"/>
      </w:r>
    </w:p>
    <w:p>
      <w:pPr>
        <w:pStyle w:val="14"/>
        <w:snapToGrid w:val="0"/>
        <w:jc w:val="both"/>
        <w:textAlignment w:val="baseline"/>
        <w:rPr>
          <w:rFonts w:ascii="黑体" w:hAnsi="黑体" w:eastAsia="黑体" w:cs="黑体"/>
          <w:sz w:val="32"/>
          <w:szCs w:val="32"/>
        </w:rPr>
      </w:pPr>
      <w:r>
        <w:rPr>
          <w:rFonts w:hint="eastAsia" w:ascii="黑体" w:hAnsi="黑体" w:eastAsia="黑体" w:cs="黑体"/>
          <w:sz w:val="32"/>
          <w:szCs w:val="32"/>
        </w:rPr>
        <w:t>附件1</w:t>
      </w:r>
    </w:p>
    <w:p>
      <w:pPr>
        <w:pStyle w:val="14"/>
        <w:jc w:val="center"/>
        <w:textAlignment w:val="baseline"/>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湖北省房地产开发企业信用评价评分表</w:t>
      </w:r>
    </w:p>
    <w:p>
      <w:pPr>
        <w:widowControl/>
        <w:spacing w:line="330" w:lineRule="exact"/>
        <w:textAlignment w:val="center"/>
        <w:rPr>
          <w:rFonts w:ascii="黑体" w:hAnsi="黑体" w:eastAsia="黑体" w:cs="黑体"/>
          <w:sz w:val="24"/>
        </w:rPr>
      </w:pPr>
      <w:r>
        <w:rPr>
          <w:rFonts w:hint="eastAsia" w:ascii="黑体" w:hAnsi="黑体" w:eastAsia="黑体" w:cs="黑体"/>
          <w:sz w:val="24"/>
        </w:rPr>
        <w:t>企业名称：                                                     填报时间：                  填报人：</w:t>
      </w:r>
    </w:p>
    <w:tbl>
      <w:tblPr>
        <w:tblStyle w:val="9"/>
        <w:tblW w:w="14778" w:type="dxa"/>
        <w:tblInd w:w="-2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47"/>
        <w:gridCol w:w="11330"/>
        <w:gridCol w:w="833"/>
        <w:gridCol w:w="1020"/>
        <w:gridCol w:w="64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45" w:hRule="atLeast"/>
          <w:tblHeader/>
        </w:trPr>
        <w:tc>
          <w:tcPr>
            <w:tcW w:w="947"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项目</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类别</w:t>
            </w:r>
          </w:p>
        </w:tc>
        <w:tc>
          <w:tcPr>
            <w:tcW w:w="11330"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内容及评价标准</w:t>
            </w:r>
          </w:p>
        </w:tc>
        <w:tc>
          <w:tcPr>
            <w:tcW w:w="833"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有效</w:t>
            </w:r>
          </w:p>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期限</w:t>
            </w:r>
          </w:p>
        </w:tc>
        <w:tc>
          <w:tcPr>
            <w:tcW w:w="1020"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最高</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加减分</w:t>
            </w:r>
          </w:p>
        </w:tc>
        <w:tc>
          <w:tcPr>
            <w:tcW w:w="648"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评价 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20" w:hRule="atLeast"/>
        </w:trPr>
        <w:tc>
          <w:tcPr>
            <w:tcW w:w="947"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近三年新开工面积</w:t>
            </w:r>
            <w:r>
              <w:rPr>
                <w:rStyle w:val="16"/>
                <w:rFonts w:hint="default" w:hAnsi="仿宋_GB2312"/>
                <w:color w:val="auto"/>
                <w:spacing w:val="11"/>
              </w:rPr>
              <w:t>5万</w:t>
            </w:r>
            <w:r>
              <w:rPr>
                <w:rStyle w:val="15"/>
                <w:rFonts w:hint="default" w:ascii="仿宋_GB2312" w:hAnsi="仿宋_GB2312" w:eastAsia="仿宋_GB2312" w:cs="仿宋_GB2312"/>
                <w:color w:val="auto"/>
                <w:spacing w:val="11"/>
              </w:rPr>
              <w:t>㎡</w:t>
            </w:r>
            <w:r>
              <w:rPr>
                <w:rStyle w:val="16"/>
                <w:rFonts w:hint="default" w:hAnsi="仿宋_GB2312"/>
                <w:color w:val="auto"/>
                <w:spacing w:val="11"/>
              </w:rPr>
              <w:t>以上的，每增加5万</w:t>
            </w:r>
            <w:r>
              <w:rPr>
                <w:rStyle w:val="15"/>
                <w:rFonts w:hint="default" w:ascii="仿宋_GB2312" w:hAnsi="仿宋_GB2312" w:cs="仿宋_GB2312"/>
                <w:color w:val="auto"/>
                <w:spacing w:val="11"/>
              </w:rPr>
              <w:t>㎡</w:t>
            </w:r>
            <w:r>
              <w:rPr>
                <w:rStyle w:val="16"/>
                <w:rFonts w:hint="default" w:hAnsi="仿宋_GB2312"/>
                <w:color w:val="auto"/>
                <w:spacing w:val="11"/>
              </w:rPr>
              <w:t>得1分。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3</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45"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近三年竣工验收备案面积</w:t>
            </w:r>
            <w:r>
              <w:rPr>
                <w:rStyle w:val="16"/>
                <w:rFonts w:hint="default" w:hAnsi="仿宋_GB2312"/>
                <w:color w:val="auto"/>
              </w:rPr>
              <w:t>5万</w:t>
            </w:r>
            <w:r>
              <w:rPr>
                <w:rStyle w:val="15"/>
                <w:rFonts w:hint="default" w:ascii="仿宋_GB2312" w:hAnsi="仿宋_GB2312" w:cs="仿宋_GB2312"/>
                <w:color w:val="auto"/>
              </w:rPr>
              <w:t>㎡</w:t>
            </w:r>
            <w:r>
              <w:rPr>
                <w:rStyle w:val="16"/>
                <w:rFonts w:hint="default" w:hAnsi="仿宋_GB2312"/>
                <w:color w:val="auto"/>
              </w:rPr>
              <w:t>以上的，每增加5万</w:t>
            </w:r>
            <w:r>
              <w:rPr>
                <w:rStyle w:val="15"/>
                <w:rFonts w:hint="default" w:ascii="仿宋_GB2312" w:hAnsi="仿宋_GB2312" w:cs="仿宋_GB2312"/>
                <w:color w:val="auto"/>
              </w:rPr>
              <w:t>㎡</w:t>
            </w:r>
            <w:r>
              <w:rPr>
                <w:rStyle w:val="16"/>
                <w:rFonts w:hint="default" w:hAnsi="仿宋_GB2312"/>
                <w:color w:val="auto"/>
              </w:rPr>
              <w:t>得1分。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3</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70"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质量保证体系完善，开发项目工程质量合格率100%，得2分；切实施行《住宅质量保证书》、《住宅使用说明书》制度，未发生重大投诉，得1分。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3</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10" w:hRule="atLeast"/>
        </w:trPr>
        <w:tc>
          <w:tcPr>
            <w:tcW w:w="94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严格执行《城市商品房预售管理办法》《商品房销售管理办法》，商品房预售资金按照规定接受监管使用，得3分。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3</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15" w:hRule="atLeast"/>
        </w:trPr>
        <w:tc>
          <w:tcPr>
            <w:tcW w:w="94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企业具有较好的履约能力和诚信水平，履行商品房销售合同及设计、施工、监理等合同情况良好，按期交付商品房，得2分；按期支付合作单位款项和工程款，得2分。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4</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25"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房地产开发项目按规定配置、移交物业管理用房、业委会用房，得2分；前期物业管理按照当地主管部门要求的时间、办法选聘物业服务企业，得1分。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3</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40" w:hRule="atLeast"/>
        </w:trPr>
        <w:tc>
          <w:tcPr>
            <w:tcW w:w="947" w:type="dxa"/>
            <w:vMerge w:val="continue"/>
            <w:vAlign w:val="center"/>
          </w:tcPr>
          <w:p>
            <w:pPr>
              <w:widowControl/>
              <w:spacing w:line="330" w:lineRule="exact"/>
              <w:jc w:val="center"/>
              <w:textAlignment w:val="center"/>
              <w:rPr>
                <w:rFonts w:ascii="仿宋_GB2312" w:hAnsi="仿宋_GB2312" w:cs="仿宋_GB2312"/>
                <w:b/>
                <w:bCs/>
                <w:sz w:val="24"/>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以评价年度内正式文件为准，获得各级党委、政府及其他部门表彰的，按国家、省、市三级，分别加3、2、1分/次（项）。企业获得行业协会表彰的，按国家、省两级，分别加2、1分/次（项）。</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95"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全装修住宅面积占开发项目总面积的比例在60%以上100%以下的（含60%），得2分；全装修住宅面积占比达到100%的，得3分。</w:t>
            </w:r>
          </w:p>
        </w:tc>
        <w:tc>
          <w:tcPr>
            <w:tcW w:w="833"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40"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采用装配式建筑（装配率60%以上）、超低能耗建筑、二星级以上绿色建筑、绿色建筑创新项目、绿色建材和设备产品，得2分。</w:t>
            </w:r>
          </w:p>
        </w:tc>
        <w:tc>
          <w:tcPr>
            <w:tcW w:w="833"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4</w:t>
            </w:r>
          </w:p>
        </w:tc>
        <w:tc>
          <w:tcPr>
            <w:tcW w:w="648" w:type="dxa"/>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95"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利用自持闲置房源开展住房租赁业务，开发建设、经营租赁型商品房，新建、配建租赁住房项目，将商品住房、经批准的非住宅改建为租赁住房，通过以上措施筹集市场化租赁房源50套以上得2分，每超过50套加1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trPr>
        <w:tc>
          <w:tcPr>
            <w:tcW w:w="947"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纳税信用被评为A级的，得2分；评为B级的，得1分。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2</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参与社会公益捐赠、慈善救助捐赠或者开展其他形式公益活动，折合人民币每5万元1分，最多得5分。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jc w:val="center"/>
              <w:textAlignment w:val="center"/>
              <w:rPr>
                <w:rFonts w:ascii="仿宋_GB2312" w:hAnsi="仿宋_GB2312" w:cs="仿宋_GB2312"/>
                <w:b/>
                <w:bCs/>
                <w:kern w:val="0"/>
                <w:sz w:val="24"/>
              </w:rPr>
            </w:pPr>
            <w:r>
              <w:rPr>
                <w:rFonts w:hint="eastAsia" w:ascii="仿宋_GB2312" w:hAnsi="仿宋_GB2312" w:cs="仿宋_GB2312"/>
                <w:b/>
                <w:bCs/>
                <w:kern w:val="0"/>
                <w:sz w:val="24"/>
              </w:rPr>
              <w:t>合计加分</w:t>
            </w:r>
          </w:p>
        </w:tc>
        <w:tc>
          <w:tcPr>
            <w:tcW w:w="2501" w:type="dxa"/>
            <w:gridSpan w:val="3"/>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84" w:hRule="atLeast"/>
        </w:trPr>
        <w:tc>
          <w:tcPr>
            <w:tcW w:w="947" w:type="dxa"/>
            <w:vMerge w:val="restart"/>
            <w:vAlign w:val="center"/>
          </w:tcPr>
          <w:p>
            <w:pPr>
              <w:pStyle w:val="14"/>
              <w:snapToGrid w:val="0"/>
              <w:spacing w:line="330" w:lineRule="exact"/>
              <w:jc w:val="center"/>
              <w:textAlignment w:val="baseline"/>
              <w:rPr>
                <w:rFonts w:ascii="仿宋_GB2312" w:hAnsi="仿宋_GB2312" w:cs="仿宋_GB2312"/>
                <w:b/>
                <w:bCs/>
              </w:rPr>
            </w:pPr>
            <w:r>
              <w:rPr>
                <w:rFonts w:hint="eastAsia" w:ascii="黑体" w:hAnsi="黑体" w:eastAsia="黑体" w:cs="黑体"/>
              </w:rPr>
              <w:t>不良信用信息</w:t>
            </w: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对发生一般安全事故负有主要责任的，扣20/件。</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20</w:t>
            </w:r>
          </w:p>
        </w:tc>
        <w:tc>
          <w:tcPr>
            <w:tcW w:w="648"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84" w:hRule="atLeast"/>
        </w:trPr>
        <w:tc>
          <w:tcPr>
            <w:tcW w:w="947" w:type="dxa"/>
            <w:vMerge w:val="continue"/>
            <w:vAlign w:val="center"/>
          </w:tcPr>
          <w:p>
            <w:pPr>
              <w:widowControl/>
              <w:spacing w:line="330" w:lineRule="exact"/>
              <w:jc w:val="center"/>
              <w:textAlignment w:val="center"/>
              <w:rPr>
                <w:rFonts w:ascii="仿宋_GB2312" w:hAnsi="仿宋_GB2312" w:cs="仿宋_GB2312"/>
                <w:b/>
                <w:bCs/>
                <w:sz w:val="24"/>
              </w:rPr>
            </w:pPr>
          </w:p>
        </w:tc>
        <w:tc>
          <w:tcPr>
            <w:tcW w:w="11330" w:type="dxa"/>
            <w:vAlign w:val="center"/>
          </w:tcPr>
          <w:p>
            <w:pPr>
              <w:widowControl/>
              <w:spacing w:line="330" w:lineRule="exact"/>
              <w:jc w:val="left"/>
              <w:textAlignment w:val="center"/>
              <w:rPr>
                <w:rFonts w:ascii="仿宋_GB2312" w:hAnsi="仿宋_GB2312" w:cs="仿宋_GB2312"/>
                <w:sz w:val="24"/>
              </w:rPr>
            </w:pPr>
            <w:r>
              <w:rPr>
                <w:rFonts w:hint="eastAsia" w:ascii="仿宋_GB2312" w:hAnsi="仿宋_GB2312" w:cs="仿宋_GB2312"/>
                <w:kern w:val="0"/>
                <w:sz w:val="24"/>
              </w:rPr>
              <w:t>违反相关法律法规被主管部门实施行政处罚的，扣5分/件；涉及重大行政处罚或发生同类违法行为两次以上的，扣15分/件。</w:t>
            </w:r>
          </w:p>
        </w:tc>
        <w:tc>
          <w:tcPr>
            <w:tcW w:w="833"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30</w:t>
            </w:r>
          </w:p>
        </w:tc>
        <w:tc>
          <w:tcPr>
            <w:tcW w:w="648"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01"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因违反预售资金监管相关规定造成项目逾期交付的，扣10分/件。</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20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84" w:hRule="atLeast"/>
        </w:trPr>
        <w:tc>
          <w:tcPr>
            <w:tcW w:w="947" w:type="dxa"/>
            <w:vMerge w:val="continue"/>
            <w:vAlign w:val="center"/>
          </w:tcPr>
          <w:p>
            <w:pPr>
              <w:widowControl/>
              <w:spacing w:line="330" w:lineRule="exact"/>
              <w:jc w:val="center"/>
              <w:textAlignment w:val="center"/>
              <w:rPr>
                <w:rFonts w:ascii="仿宋_GB2312" w:hAnsi="仿宋_GB2312" w:cs="仿宋_GB2312"/>
                <w:b/>
                <w:bCs/>
                <w:sz w:val="24"/>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取得预售许可证前以认购（包括认定、登记、选号等）、收取预定款性质费用等各种形式变相预售商品房，或采取售后包租、变相售后包租方式销售商品房的，扣10分/件。</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20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84"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企业诱导购房人规避房地产市场调控政策或违规办理相关业务；在商品房销售中发布虚假广告，或作欺骗性、误导性宣传，实际交付后小区环境及交通、商业、文化教育等配套设施与宣传不一致的，扣5分/件。</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84"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委托未经备案的中介机构代理销售项目；未执行明码标价制度；向购房人收取购房合同中未予约定的费用；违规向购房人收取与商品住房配套的水电气暖安装费用以及不动产登记等相关费用的，扣5分/件。</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15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84"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企业拒交、缓交、挪用住宅专项维修资金，或违反规定将房屋交付给未交存首期住宅专项维修资金购买人的，扣5分/件。</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15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84"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房屋交付使用后，出现房屋质量问题或全装修房屋交付标准低于样板房和委托装修协议承诺标准的，视情节严重程度，扣5-10分/件。</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20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02"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擅自处分属于业主的物业公共部位、共用设施设备的所有权或者使用权的，扣5分/件。</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15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67"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未按合同约定时间办理商品房产权初始登记，扣5分/栋。因开发企业原因，买受人未能在合同约定期限内取得不动产权证的，超过合同约定期限1年以下的，扣2分/项目；1年以上的，扣3分/项目</w:t>
            </w:r>
            <w:r>
              <w:rPr>
                <w:rStyle w:val="17"/>
                <w:rFonts w:hint="eastAsia" w:ascii="仿宋_GB2312" w:hAnsi="仿宋_GB2312" w:cs="仿宋_GB2312"/>
                <w:color w:val="auto"/>
              </w:rPr>
              <w:t>·</w:t>
            </w:r>
            <w:r>
              <w:rPr>
                <w:rStyle w:val="16"/>
                <w:rFonts w:hint="default" w:hAnsi="仿宋_GB2312"/>
                <w:color w:val="auto"/>
              </w:rPr>
              <w:t>年；不配合房屋产权登记确权颁证清零行动相关工作的，扣5分。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15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09" w:hRule="atLeast"/>
        </w:trPr>
        <w:tc>
          <w:tcPr>
            <w:tcW w:w="94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不配合政府相关职能部门依法开展日常监管活动的，扣5分/次。企业信息变更不及时申报的，扣3分/次。</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15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01"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kern w:val="0"/>
                <w:sz w:val="24"/>
              </w:rPr>
            </w:pPr>
            <w:r>
              <w:rPr>
                <w:rFonts w:hint="eastAsia" w:ascii="仿宋_GB2312" w:hAnsi="仿宋_GB2312" w:cs="仿宋_GB2312"/>
                <w:kern w:val="0"/>
                <w:sz w:val="24"/>
              </w:rPr>
              <w:t>法定代表人和出资人存在失信行为的，扣5分/件。</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84" w:hRule="atLeast"/>
        </w:trPr>
        <w:tc>
          <w:tcPr>
            <w:tcW w:w="947"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不良信用信息</w:t>
            </w: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rPr>
              <w:t>开发企业不积极配合处理信访投诉事项，造成进京、赴省群体上访的，扣20分/件；造成10人以上集体上访的，扣10分/件；造成不良社会影响，被媒体公开报道，或引发群体性上访的，扣10分/件。</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50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5"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kern w:val="0"/>
                <w:sz w:val="24"/>
              </w:rPr>
            </w:pPr>
            <w:r>
              <w:rPr>
                <w:rFonts w:hint="eastAsia" w:ascii="仿宋_GB2312" w:hAnsi="仿宋_GB2312" w:cs="仿宋_GB2312"/>
                <w:kern w:val="0"/>
                <w:sz w:val="24"/>
              </w:rPr>
              <w:t>在物业管理区域内不按照规定配置必要的物业管用房的。每次扣10分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6" w:hRule="atLeast"/>
        </w:trPr>
        <w:tc>
          <w:tcPr>
            <w:tcW w:w="94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kern w:val="0"/>
                <w:sz w:val="24"/>
              </w:rPr>
            </w:pPr>
            <w:r>
              <w:rPr>
                <w:rFonts w:hint="eastAsia" w:ascii="仿宋_GB2312" w:hAnsi="仿宋_GB2312" w:cs="仿宋_GB2312"/>
                <w:kern w:val="0"/>
                <w:sz w:val="24"/>
              </w:rPr>
              <w:t>未通过招投标方式或擅自采用协议方式选聘前期物业服务企业的。每次扣10分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6"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kern w:val="0"/>
                <w:sz w:val="24"/>
              </w:rPr>
            </w:pPr>
            <w:r>
              <w:rPr>
                <w:rFonts w:hint="eastAsia" w:ascii="仿宋_GB2312" w:hAnsi="仿宋_GB2312" w:cs="仿宋_GB2312"/>
                <w:kern w:val="0"/>
                <w:sz w:val="24"/>
              </w:rPr>
              <w:t>首次业主大会会议召开前，未向街道办事处、乡镇人民政府报送物业区域证明、房屋及建筑面积清册、业主名册、竣工总平面图、交付使用共用设施设备的证明、物业服务用房配置证明等筹备首次业主大会会议所需的文件资料的。每次扣5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kern w:val="0"/>
                <w:sz w:val="24"/>
              </w:rPr>
            </w:pPr>
            <w:r>
              <w:rPr>
                <w:rFonts w:hint="eastAsia" w:ascii="仿宋_GB2312" w:hAnsi="仿宋_GB2312" w:cs="仿宋_GB2312"/>
                <w:kern w:val="0"/>
                <w:sz w:val="24"/>
              </w:rPr>
              <w:t>未向行政主管部门进行前期物业服务合同备案的。每次扣5分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60"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kern w:val="0"/>
                <w:sz w:val="24"/>
              </w:rPr>
            </w:pPr>
            <w:r>
              <w:rPr>
                <w:rFonts w:hint="eastAsia" w:ascii="仿宋_GB2312" w:hAnsi="仿宋_GB2312" w:cs="仿宋_GB2312"/>
                <w:kern w:val="0"/>
                <w:sz w:val="24"/>
              </w:rPr>
              <w:t>在物业保修期内未按照规定履行保修责任的。每次扣5分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6"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kern w:val="0"/>
                <w:sz w:val="24"/>
              </w:rPr>
            </w:pPr>
            <w:r>
              <w:rPr>
                <w:rFonts w:hint="eastAsia" w:ascii="仿宋_GB2312" w:hAnsi="仿宋_GB2312" w:cs="仿宋_GB2312"/>
                <w:kern w:val="0"/>
                <w:sz w:val="24"/>
              </w:rPr>
              <w:t>将物业区域内的规划停车位、车库销售或变相销售给业主以外的单位和个人的；规划停车位、车库优先满足业主需要后对外出租时，每次租赁期限超过一年的。对物业区域内占用业主共有道路或场地用于停放车辆的车位进行销售或变相销售的每项次扣5分</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20"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6"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lang w:bidi="ar"/>
              </w:rPr>
              <w:t>严重破坏市场公平竞争秩序和社会正常秩序的行为(包括不按照批准的用途使用国有土地或非法占用土地实施房地产开发、无证照经营、出借和借用资质等严重失信行为）。</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2年</w:t>
            </w:r>
          </w:p>
        </w:tc>
        <w:tc>
          <w:tcPr>
            <w:tcW w:w="1020"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一票否决</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6"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lang w:bidi="ar"/>
              </w:rPr>
              <w:t>开发企业被列入“信用中国”“信用湖北”等信用监管平台的失信联合惩戒对象的，或开发企业法人被列入“信用中国”“信用湖北”等信用监管平台的失信被执行人名单的。</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2年</w:t>
            </w:r>
          </w:p>
        </w:tc>
        <w:tc>
          <w:tcPr>
            <w:tcW w:w="1020"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一票否决</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98"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lang w:bidi="ar"/>
              </w:rPr>
              <w:t>因企业原因导致50人以上或5次以上集体上访的群体性、极端事件，企业不配合调查或不积极处理，造成恶劣社会影响的。</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2年</w:t>
            </w:r>
          </w:p>
        </w:tc>
        <w:tc>
          <w:tcPr>
            <w:tcW w:w="1020"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一票否决</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6"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330" w:type="dxa"/>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lang w:bidi="ar"/>
              </w:rPr>
              <w:t>在预售期间拒不接受预售资金监管，挪用、抽逃预售资金造成停工烂尾等严重后果的；滞留、挪用住宅专项维修资金，情节严重或拒不整改的。</w:t>
            </w:r>
          </w:p>
        </w:tc>
        <w:tc>
          <w:tcPr>
            <w:tcW w:w="833"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2年</w:t>
            </w:r>
          </w:p>
        </w:tc>
        <w:tc>
          <w:tcPr>
            <w:tcW w:w="1020"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一票否决</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76" w:hRule="atLeast"/>
        </w:trPr>
        <w:tc>
          <w:tcPr>
            <w:tcW w:w="947"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0" w:type="auto"/>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lang w:bidi="ar"/>
              </w:rPr>
              <w:t>对发生较大及以上安全事故负有主要责任的。</w:t>
            </w:r>
          </w:p>
        </w:tc>
        <w:tc>
          <w:tcPr>
            <w:tcW w:w="0" w:type="auto"/>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2年</w:t>
            </w:r>
          </w:p>
        </w:tc>
        <w:tc>
          <w:tcPr>
            <w:tcW w:w="0" w:type="auto"/>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一票否决</w:t>
            </w:r>
          </w:p>
        </w:tc>
        <w:tc>
          <w:tcPr>
            <w:tcW w:w="0" w:type="auto"/>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6" w:hRule="atLeast"/>
        </w:trPr>
        <w:tc>
          <w:tcPr>
            <w:tcW w:w="947"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0" w:type="auto"/>
            <w:vAlign w:val="center"/>
          </w:tcPr>
          <w:p>
            <w:pPr>
              <w:widowControl/>
              <w:spacing w:line="330" w:lineRule="exact"/>
              <w:textAlignment w:val="center"/>
              <w:rPr>
                <w:rFonts w:ascii="仿宋_GB2312" w:hAnsi="仿宋_GB2312" w:cs="仿宋_GB2312"/>
                <w:sz w:val="24"/>
              </w:rPr>
            </w:pPr>
            <w:r>
              <w:rPr>
                <w:rFonts w:hint="eastAsia" w:ascii="仿宋_GB2312" w:hAnsi="仿宋_GB2312" w:cs="仿宋_GB2312"/>
                <w:kern w:val="0"/>
                <w:sz w:val="24"/>
                <w:lang w:bidi="ar"/>
              </w:rPr>
              <w:t>其他违法违规行为，造成恶劣社会影响的。</w:t>
            </w:r>
          </w:p>
        </w:tc>
        <w:tc>
          <w:tcPr>
            <w:tcW w:w="0" w:type="auto"/>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2年</w:t>
            </w:r>
          </w:p>
        </w:tc>
        <w:tc>
          <w:tcPr>
            <w:tcW w:w="0" w:type="auto"/>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一票否决</w:t>
            </w:r>
          </w:p>
        </w:tc>
        <w:tc>
          <w:tcPr>
            <w:tcW w:w="0" w:type="auto"/>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6" w:hRule="atLeast"/>
        </w:trPr>
        <w:tc>
          <w:tcPr>
            <w:tcW w:w="947"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0" w:type="auto"/>
            <w:vAlign w:val="center"/>
          </w:tcPr>
          <w:p>
            <w:pPr>
              <w:widowControl/>
              <w:spacing w:line="330" w:lineRule="exact"/>
              <w:jc w:val="center"/>
              <w:textAlignment w:val="center"/>
              <w:rPr>
                <w:rFonts w:ascii="仿宋_GB2312" w:hAnsi="仿宋_GB2312" w:cs="仿宋_GB2312"/>
                <w:kern w:val="0"/>
                <w:sz w:val="24"/>
                <w:lang w:bidi="ar"/>
              </w:rPr>
            </w:pPr>
            <w:r>
              <w:rPr>
                <w:rFonts w:hint="eastAsia" w:ascii="仿宋_GB2312" w:hAnsi="仿宋_GB2312" w:cs="仿宋_GB2312"/>
                <w:b/>
                <w:bCs/>
                <w:kern w:val="0"/>
                <w:sz w:val="24"/>
                <w:lang w:bidi="ar"/>
              </w:rPr>
              <w:t>合计扣分</w:t>
            </w:r>
          </w:p>
        </w:tc>
        <w:tc>
          <w:tcPr>
            <w:tcW w:w="2501" w:type="dxa"/>
            <w:gridSpan w:val="3"/>
          </w:tcPr>
          <w:p>
            <w:pPr>
              <w:spacing w:line="330" w:lineRule="exact"/>
              <w:jc w:val="center"/>
              <w:rPr>
                <w:rFonts w:ascii="仿宋_GB2312" w:hAnsi="仿宋_GB2312" w:cs="仿宋_GB2312"/>
                <w:sz w:val="24"/>
              </w:rPr>
            </w:pPr>
          </w:p>
        </w:tc>
      </w:tr>
    </w:tbl>
    <w:p>
      <w:pPr>
        <w:rPr>
          <w:rFonts w:ascii="黑体" w:hAnsi="黑体" w:eastAsia="黑体" w:cs="方正小标宋简体"/>
          <w:szCs w:val="44"/>
        </w:rPr>
      </w:pPr>
      <w:r>
        <w:rPr>
          <w:rFonts w:hint="eastAsia" w:ascii="黑体" w:hAnsi="黑体" w:eastAsia="黑体" w:cs="黑体"/>
          <w:szCs w:val="32"/>
        </w:rPr>
        <w:t>附件2</w:t>
      </w:r>
    </w:p>
    <w:p>
      <w:pPr>
        <w:jc w:val="center"/>
        <w:rPr>
          <w:rFonts w:ascii="方正小标宋简体" w:hAnsi="方正小标宋简体" w:eastAsia="方正小标宋简体" w:cs="方正小标宋简体"/>
          <w:sz w:val="36"/>
          <w:szCs w:val="40"/>
        </w:rPr>
      </w:pPr>
      <w:r>
        <w:rPr>
          <w:rFonts w:hint="eastAsia" w:ascii="方正小标宋简体" w:hAnsi="方正小标宋简体" w:eastAsia="方正小标宋简体" w:cs="方正小标宋简体"/>
          <w:sz w:val="36"/>
          <w:szCs w:val="40"/>
        </w:rPr>
        <w:t>湖北省房地产经纪机构信用评价评分表</w:t>
      </w:r>
    </w:p>
    <w:p>
      <w:pPr>
        <w:widowControl/>
        <w:spacing w:line="330" w:lineRule="exact"/>
        <w:textAlignment w:val="center"/>
      </w:pPr>
      <w:r>
        <w:rPr>
          <w:rFonts w:hint="eastAsia" w:ascii="黑体" w:hAnsi="黑体" w:eastAsia="黑体" w:cs="黑体"/>
          <w:sz w:val="24"/>
        </w:rPr>
        <w:t>企业名称：                                                     填报时间：                  填报人：</w:t>
      </w:r>
    </w:p>
    <w:tbl>
      <w:tblPr>
        <w:tblStyle w:val="9"/>
        <w:tblW w:w="14697" w:type="dxa"/>
        <w:tblInd w:w="-2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29"/>
        <w:gridCol w:w="11296"/>
        <w:gridCol w:w="779"/>
        <w:gridCol w:w="1025"/>
        <w:gridCol w:w="66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0" w:hRule="atLeast"/>
          <w:tblHeader/>
        </w:trPr>
        <w:tc>
          <w:tcPr>
            <w:tcW w:w="929"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项目</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类别</w:t>
            </w:r>
          </w:p>
        </w:tc>
        <w:tc>
          <w:tcPr>
            <w:tcW w:w="11296"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内容及评价标准</w:t>
            </w:r>
          </w:p>
        </w:tc>
        <w:tc>
          <w:tcPr>
            <w:tcW w:w="779"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有效</w:t>
            </w:r>
          </w:p>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期限</w:t>
            </w:r>
          </w:p>
        </w:tc>
        <w:tc>
          <w:tcPr>
            <w:tcW w:w="1025"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最高</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加减分</w:t>
            </w:r>
          </w:p>
        </w:tc>
        <w:tc>
          <w:tcPr>
            <w:tcW w:w="668"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评价 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取得营业执照30天内完成企业备案，加3分。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3</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70"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从业人员取得全国经纪人资格证，加5分，从业人员取得全国经纪人协理资格证，加3分，从业人员取得从业人员实名登记服务证，加2分。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5"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kern w:val="0"/>
                <w:sz w:val="24"/>
              </w:rPr>
              <w:t>纳税信用被评为A级的，得2分；评为B级的，得1分。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70"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从事房地产经纪服务活动中获得国家表彰的，加10分。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从事房地产经纪服务活动中获得省、市政府表彰的，加5分。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从事房地产经纪服务活动中获得行业主管部门表彰的，加3分。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3</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从事房地产经纪服务活动中获得行业协会表彰的，加2分。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参与慈善救助和社会公益等捐赠活动的（每2万元计1分）。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积极参与、配合主管部门组织开展的专项活动，表现突出，取得成效的。每次2分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自行组织或参加各级、各类主体承办、发起的社会公益活动、履行社会责任的。每次1分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00"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jc w:val="center"/>
              <w:rPr>
                <w:rFonts w:ascii="仿宋_GB2312" w:hAnsi="仿宋_GB2312" w:cs="仿宋_GB2312"/>
                <w:sz w:val="24"/>
              </w:rPr>
            </w:pPr>
            <w:r>
              <w:rPr>
                <w:rFonts w:hint="eastAsia" w:ascii="仿宋_GB2312" w:hAnsi="仿宋_GB2312" w:cs="仿宋_GB2312"/>
                <w:b/>
                <w:bCs/>
                <w:sz w:val="24"/>
              </w:rPr>
              <w:t>合计加分</w:t>
            </w:r>
          </w:p>
        </w:tc>
        <w:tc>
          <w:tcPr>
            <w:tcW w:w="2472" w:type="dxa"/>
            <w:gridSpan w:val="3"/>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restart"/>
            <w:vAlign w:val="center"/>
          </w:tcPr>
          <w:p>
            <w:pPr>
              <w:pStyle w:val="14"/>
              <w:snapToGrid w:val="0"/>
              <w:spacing w:line="330" w:lineRule="exact"/>
              <w:jc w:val="center"/>
              <w:textAlignment w:val="baseline"/>
              <w:rPr>
                <w:rFonts w:ascii="仿宋_GB2312" w:hAnsi="仿宋_GB2312" w:cs="仿宋_GB2312"/>
                <w:b/>
                <w:bCs/>
              </w:rPr>
            </w:pPr>
            <w:r>
              <w:rPr>
                <w:rFonts w:hint="eastAsia" w:ascii="黑体" w:hAnsi="黑体" w:eastAsia="黑体" w:cs="黑体"/>
              </w:rPr>
              <w:t>不良信用信息</w:t>
            </w: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从业人员入入职后未办理实名登记的，或信息变更后未办理实名登记变更的。每次扣1分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widowControl/>
              <w:spacing w:line="330" w:lineRule="exact"/>
              <w:jc w:val="center"/>
              <w:textAlignment w:val="center"/>
              <w:rPr>
                <w:rFonts w:ascii="仿宋_GB2312" w:hAnsi="仿宋_GB2312" w:cs="仿宋_GB2312"/>
                <w:b/>
                <w:bCs/>
                <w:sz w:val="24"/>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经纪从业人员在开展业务时未按规定佩戴从业人员信息卡的。每次扣0.5分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5"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聘用在其他经纪机构登记执业的经纪人员在本机构从事经纪服务的。每次扣1分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5" w:hRule="atLeast"/>
        </w:trPr>
        <w:tc>
          <w:tcPr>
            <w:tcW w:w="929" w:type="dxa"/>
            <w:vMerge w:val="continue"/>
            <w:vAlign w:val="center"/>
          </w:tcPr>
          <w:p>
            <w:pPr>
              <w:widowControl/>
              <w:spacing w:line="330" w:lineRule="exact"/>
              <w:jc w:val="center"/>
              <w:textAlignment w:val="center"/>
              <w:rPr>
                <w:rFonts w:ascii="仿宋_GB2312" w:hAnsi="仿宋_GB2312" w:cs="仿宋_GB2312"/>
                <w:b/>
                <w:bCs/>
                <w:sz w:val="24"/>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分支机构或加盟门店未在新增之日起30日内按要求办理实名登记的，或发生变更或终止时，未在变更之日或终止之日起30日内，办理信息变更或注销的。扣2分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不良信用信息</w:t>
            </w: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设立公司品牌或变更公司品牌后未及时办理登记或变更手续的。扣2分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未在其经营场所醒目位置公示相关材料或公示不全的。扣1分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10"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对外发布虚假房源信息（图片不真实、产权信息不真实、委托关系不真实、房源核验码不真实等情形）的。每次扣5分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房地产经纪服务不执行明码标价，存在混合标价、捆绑标价等行为的。扣5分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房地产经纪服务合同未由从事该业务的一名房地产经纪人或者两名房地产经纪人协理签名。扣2分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5"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签订房地产经纪服务合同前，未按《房地产经纪管理办法》第二十一条向交易当事人说明和书面告知规定事项的，每次扣10分。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拒绝、阻碍客户使用房地产主管部门或行业协会推荐使用的合同示范文本的。每次扣5分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24"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无正当理由扣押委托人的房产证等证件资料的。每次扣10分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10"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未配合、协助交易双方将应托管的存量房交易资金通过指定的存量房交易托管账户进行托管的，将交易资金违规转入个人账户的。每次扣10分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7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未按照规定如实记录业务情况或者保存房地产经纪服务合同的。每次扣5分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24"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利用行业垄断地位，违规操纵价格，收取高额佣金的。每次扣10分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行业主管部门认定的有效投诉数量。每次扣10分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0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发生投诉后，不积极配合行业主管部门调查处理。每次扣10分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未在规定时间内办理信访投诉回复，或回复内容与事实情况不符的。每次扣10分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3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对不良行为，未按照行业主管部门要求整改的。每次扣10分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7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无故不参加主管部门约谈，或约谈事项不落实，经督促后仍不履行的。每次扣30分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9" w:hRule="atLeast"/>
        </w:trPr>
        <w:tc>
          <w:tcPr>
            <w:tcW w:w="929"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不良信用信息</w:t>
            </w: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捏造散布涨价信息，或者与房地产开发经营单位串通捂盘惜售、炒卖房号，操纵市场价格。每次扣20分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40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9"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对交易当事人隐瞒真实的房屋交易信息，低价收进高价卖（租）出房屋赚取差价。每次扣20分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40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9"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向行政主管部门提供伪造、假冒、涂改证件或虚假材料的。</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2年</w:t>
            </w:r>
          </w:p>
        </w:tc>
        <w:tc>
          <w:tcPr>
            <w:tcW w:w="1025" w:type="dxa"/>
            <w:vAlign w:val="center"/>
          </w:tcPr>
          <w:p>
            <w:pPr>
              <w:spacing w:line="400" w:lineRule="exact"/>
              <w:rPr>
                <w:rFonts w:ascii="仿宋_GB2312" w:hAnsi="仿宋_GB2312" w:cs="仿宋_GB2312"/>
                <w:sz w:val="24"/>
              </w:rPr>
            </w:pPr>
            <w:r>
              <w:rPr>
                <w:rFonts w:hint="eastAsia" w:ascii="仿宋_GB2312" w:hAnsi="仿宋_GB2312" w:cs="仿宋_GB2312"/>
                <w:sz w:val="24"/>
              </w:rPr>
              <w:t>一票否决</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3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拒不执行行政主管部门做出的已经生效的处罚或限期整改决定的。</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一票否决</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3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存在《房地产经纪管理办法》第二十五条第三、四、五、六、七、八、九、十项行为的</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一票否决</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3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法律规定的其他严重违法违规行为。</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一票否决</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3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jc w:val="center"/>
              <w:rPr>
                <w:rFonts w:ascii="仿宋_GB2312" w:hAnsi="仿宋_GB2312" w:cs="仿宋_GB2312"/>
                <w:sz w:val="24"/>
              </w:rPr>
            </w:pPr>
            <w:r>
              <w:rPr>
                <w:rFonts w:hint="eastAsia" w:ascii="仿宋_GB2312" w:hAnsi="仿宋_GB2312" w:cs="仿宋_GB2312"/>
                <w:b/>
                <w:bCs/>
                <w:sz w:val="24"/>
              </w:rPr>
              <w:t>合计扣分</w:t>
            </w:r>
          </w:p>
        </w:tc>
        <w:tc>
          <w:tcPr>
            <w:tcW w:w="2472" w:type="dxa"/>
            <w:gridSpan w:val="3"/>
            <w:vAlign w:val="center"/>
          </w:tcPr>
          <w:p>
            <w:pPr>
              <w:spacing w:line="330" w:lineRule="exact"/>
              <w:jc w:val="center"/>
              <w:rPr>
                <w:rFonts w:ascii="仿宋_GB2312" w:hAnsi="仿宋_GB2312" w:cs="仿宋_GB2312"/>
                <w:sz w:val="24"/>
              </w:rPr>
            </w:pPr>
          </w:p>
        </w:tc>
      </w:tr>
    </w:tbl>
    <w:p>
      <w:r>
        <w:br w:type="page"/>
      </w:r>
    </w:p>
    <w:p>
      <w:pPr>
        <w:rPr>
          <w:rFonts w:ascii="黑体" w:hAnsi="黑体" w:eastAsia="黑体" w:cs="方正小标宋简体"/>
          <w:szCs w:val="44"/>
        </w:rPr>
      </w:pPr>
      <w:r>
        <w:rPr>
          <w:rFonts w:hint="eastAsia" w:ascii="黑体" w:hAnsi="黑体" w:eastAsia="黑体" w:cs="黑体"/>
          <w:szCs w:val="32"/>
        </w:rPr>
        <w:t>附件3</w:t>
      </w:r>
    </w:p>
    <w:p>
      <w:pPr>
        <w:jc w:val="center"/>
        <w:rPr>
          <w:rFonts w:ascii="方正小标宋简体" w:hAnsi="方正小标宋简体" w:eastAsia="方正小标宋简体" w:cs="方正小标宋简体"/>
          <w:sz w:val="36"/>
          <w:szCs w:val="40"/>
        </w:rPr>
      </w:pPr>
      <w:r>
        <w:rPr>
          <w:rFonts w:hint="eastAsia" w:ascii="方正小标宋简体" w:hAnsi="方正小标宋简体" w:eastAsia="方正小标宋简体" w:cs="方正小标宋简体"/>
          <w:sz w:val="36"/>
          <w:szCs w:val="40"/>
        </w:rPr>
        <w:t>湖北省房地产经纪人员信用评价评分表</w:t>
      </w:r>
    </w:p>
    <w:p>
      <w:pPr>
        <w:widowControl/>
        <w:spacing w:line="330" w:lineRule="exact"/>
        <w:textAlignment w:val="center"/>
      </w:pPr>
      <w:r>
        <w:rPr>
          <w:rFonts w:hint="eastAsia" w:ascii="黑体" w:hAnsi="黑体" w:eastAsia="黑体" w:cs="黑体"/>
          <w:sz w:val="24"/>
        </w:rPr>
        <w:t>企业名称：                                                     填报时间：                  填报人：</w:t>
      </w:r>
    </w:p>
    <w:tbl>
      <w:tblPr>
        <w:tblStyle w:val="9"/>
        <w:tblW w:w="14697" w:type="dxa"/>
        <w:tblInd w:w="-2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29"/>
        <w:gridCol w:w="11296"/>
        <w:gridCol w:w="779"/>
        <w:gridCol w:w="1025"/>
        <w:gridCol w:w="66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4" w:hRule="atLeast"/>
          <w:tblHeader/>
        </w:trPr>
        <w:tc>
          <w:tcPr>
            <w:tcW w:w="929"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项目</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类别</w:t>
            </w:r>
          </w:p>
        </w:tc>
        <w:tc>
          <w:tcPr>
            <w:tcW w:w="11296"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内容及评价标准</w:t>
            </w:r>
          </w:p>
        </w:tc>
        <w:tc>
          <w:tcPr>
            <w:tcW w:w="779"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有效</w:t>
            </w:r>
          </w:p>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期限</w:t>
            </w:r>
          </w:p>
        </w:tc>
        <w:tc>
          <w:tcPr>
            <w:tcW w:w="1025"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最高</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加减分</w:t>
            </w:r>
          </w:p>
        </w:tc>
        <w:tc>
          <w:tcPr>
            <w:tcW w:w="668"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评价 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0" w:hRule="atLeast"/>
        </w:trPr>
        <w:tc>
          <w:tcPr>
            <w:tcW w:w="929"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完成实名信息登记，加2分。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0"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从业人员取得全国经纪人资格证每人加5分。从业人员取得全国经纪人协理资格证加3分。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从事房地产经纪服务活动中获得国家表彰的，加10分。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2年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05"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从事房地产经纪服务活动中获得省、市政府表彰的，加5分。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从事房地产经纪服务活动中获得行业主管部门表彰的，加3分。</w:t>
            </w:r>
          </w:p>
        </w:tc>
        <w:tc>
          <w:tcPr>
            <w:tcW w:w="779" w:type="dxa"/>
            <w:vAlign w:val="center"/>
          </w:tcPr>
          <w:p>
            <w:pPr>
              <w:widowControl/>
              <w:jc w:val="center"/>
              <w:textAlignment w:val="center"/>
              <w:rPr>
                <w:rFonts w:ascii="仿宋_GB2312" w:hAnsi="仿宋_GB2312" w:cs="仿宋_GB2312"/>
                <w:sz w:val="24"/>
              </w:rPr>
            </w:pPr>
            <w:r>
              <w:rPr>
                <w:rFonts w:ascii="仿宋_GB2312" w:hAnsi="仿宋_GB2312" w:cs="仿宋_GB2312"/>
                <w:kern w:val="0"/>
                <w:sz w:val="24"/>
                <w:lang w:bidi="ar"/>
              </w:rPr>
              <w:t>1</w:t>
            </w:r>
            <w:r>
              <w:rPr>
                <w:rFonts w:hint="eastAsia" w:ascii="仿宋_GB2312" w:hAnsi="仿宋_GB2312" w:cs="仿宋_GB2312"/>
                <w:kern w:val="0"/>
                <w:sz w:val="24"/>
                <w:lang w:bidi="ar"/>
              </w:rPr>
              <w:t>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3</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从事房地产经纪服务活动中获得行业协会表彰的，加2分。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参与慈善救助和社会公益等捐赠活动的（每2万元计1分）。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积极参与、配合主管部门组织开展的专项活动，表现突出，取得成效的，每次加1分。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自行组织或参加各级、各类主体承办、发起的社会公益活动、履行社会责任的，每次加1分。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b/>
                <w:bCs/>
                <w:kern w:val="0"/>
                <w:sz w:val="24"/>
                <w:lang w:bidi="ar"/>
              </w:rPr>
              <w:t>合计加分</w:t>
            </w:r>
          </w:p>
        </w:tc>
        <w:tc>
          <w:tcPr>
            <w:tcW w:w="2472" w:type="dxa"/>
            <w:gridSpan w:val="3"/>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restart"/>
            <w:vAlign w:val="center"/>
          </w:tcPr>
          <w:p>
            <w:pPr>
              <w:pStyle w:val="14"/>
              <w:snapToGrid w:val="0"/>
              <w:spacing w:line="330" w:lineRule="exact"/>
              <w:jc w:val="center"/>
              <w:textAlignment w:val="baseline"/>
              <w:rPr>
                <w:rFonts w:ascii="仿宋_GB2312" w:hAnsi="仿宋_GB2312" w:cs="仿宋_GB2312"/>
                <w:b/>
                <w:bCs/>
              </w:rPr>
            </w:pPr>
            <w:r>
              <w:rPr>
                <w:rFonts w:hint="eastAsia" w:ascii="黑体" w:hAnsi="黑体" w:eastAsia="黑体" w:cs="黑体"/>
              </w:rPr>
              <w:t>不良信用信息</w:t>
            </w: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经纪从业人员在开展业务时未按规定佩戴从业人员信息卡的，每次扣1分。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widowControl/>
              <w:spacing w:line="330" w:lineRule="exact"/>
              <w:jc w:val="center"/>
              <w:textAlignment w:val="center"/>
              <w:rPr>
                <w:rFonts w:ascii="仿宋_GB2312" w:hAnsi="仿宋_GB2312" w:cs="仿宋_GB2312"/>
                <w:b/>
                <w:bCs/>
                <w:sz w:val="24"/>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对外发布虚假房源信息（图片不真实、产权信息不真实、委托关系不真实、房源核验码不真实等情形）的。每次扣5分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不执行明码标价，存在混合标价、捆绑标价等行为的。每次扣5分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29" w:type="dxa"/>
            <w:vMerge w:val="continue"/>
            <w:vAlign w:val="center"/>
          </w:tcPr>
          <w:p>
            <w:pPr>
              <w:widowControl/>
              <w:spacing w:line="330" w:lineRule="exact"/>
              <w:jc w:val="center"/>
              <w:textAlignment w:val="center"/>
              <w:rPr>
                <w:rFonts w:ascii="仿宋_GB2312" w:hAnsi="仿宋_GB2312" w:cs="仿宋_GB2312"/>
                <w:b/>
                <w:bCs/>
                <w:sz w:val="24"/>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合同未由从事该业务的一名房地产经纪人或者两名房地产经纪人协理签名。每次扣2分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签订房地产经纪服务合同前，未按《房地产经纪管理办法》第二十一条向交易当事人说明和书面告知规定事项的。每次扣1分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拒绝、阻碍客户使用房地产主管部门或行业协会推荐使用的合同示范文本的。每次扣5分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5" w:hRule="atLeast"/>
        </w:trPr>
        <w:tc>
          <w:tcPr>
            <w:tcW w:w="929"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不良信用信息</w:t>
            </w: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无正当理由扣押委托人的房产证等证件资料的。每次扣5分。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未配合、协助交易双方将应托管的存量房交易资金通过指定的存量房交易托管账户进行托管的，将交易资金违规转入个人账户的。每次扣10分。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75"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未按照规定如实记录业务情况或者保存房地产经纪服务合同的。</w:t>
            </w:r>
            <w:r>
              <w:rPr>
                <w:rFonts w:hint="eastAsia" w:ascii="仿宋_GB2312" w:hAnsi="仿宋_GB2312" w:cs="仿宋_GB2312"/>
                <w:sz w:val="24"/>
              </w:rPr>
              <w:t>每次扣5分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4" w:hRule="atLeast"/>
        </w:trPr>
        <w:tc>
          <w:tcPr>
            <w:tcW w:w="929"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行业主管部门认定的有效投诉数量。</w:t>
            </w:r>
            <w:r>
              <w:rPr>
                <w:rFonts w:hint="eastAsia" w:ascii="仿宋_GB2312" w:hAnsi="仿宋_GB2312" w:cs="仿宋_GB2312"/>
                <w:sz w:val="24"/>
              </w:rPr>
              <w:t>每次扣5分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9" w:hRule="atLeast"/>
        </w:trPr>
        <w:tc>
          <w:tcPr>
            <w:tcW w:w="929"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发生投诉后，不积极配合行业主管部门调查处理。每次扣2分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65"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未在规定时间内办理信访投诉回复，或回复内容与事实情况不符的。每次扣2分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对不良行为，未按照行业主管部门要求整改的。每次扣5分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无故不参加主管部门约谈，或约谈事项不落实，经督促后仍不履行的。每次扣10分</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捏造散布涨价信息，或者与房地产开发经营单位串通捂盘惜售、炒卖房号，操纵市场价格。每次扣20分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40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spacing w:line="400" w:lineRule="exact"/>
              <w:rPr>
                <w:rFonts w:ascii="仿宋_GB2312" w:hAnsi="仿宋_GB2312" w:cs="仿宋_GB2312"/>
                <w:sz w:val="24"/>
              </w:rPr>
            </w:pPr>
            <w:r>
              <w:rPr>
                <w:rFonts w:hint="eastAsia" w:ascii="仿宋_GB2312" w:hAnsi="仿宋_GB2312" w:cs="仿宋_GB2312"/>
                <w:sz w:val="24"/>
              </w:rPr>
              <w:t>对交易当事人隐瞒真实的房屋交易信息，低价收进高价卖（租）出房屋赚取差价。每次扣20分</w:t>
            </w:r>
          </w:p>
        </w:tc>
        <w:tc>
          <w:tcPr>
            <w:tcW w:w="779"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40</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向行政主管部门提供伪造、假冒、涂改证件或虚假材料的。</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sz w:val="24"/>
              </w:rPr>
              <w:t>2年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一票否决</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拒不执行行政主管部门做出的已经生效的处罚或限期整改决定的。</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2年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一票否决</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存在《房地产经纪管理办法》第二十五条行为的。</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2年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一票否决</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法律规定的其他严重违法违规行为。</w:t>
            </w:r>
          </w:p>
        </w:tc>
        <w:tc>
          <w:tcPr>
            <w:tcW w:w="779" w:type="dxa"/>
            <w:vAlign w:val="center"/>
          </w:tcPr>
          <w:p>
            <w:pPr>
              <w:widowControl/>
              <w:jc w:val="center"/>
              <w:textAlignment w:val="center"/>
              <w:rPr>
                <w:rFonts w:ascii="仿宋_GB2312" w:hAnsi="仿宋_GB2312" w:cs="仿宋_GB2312"/>
                <w:sz w:val="24"/>
              </w:rPr>
            </w:pPr>
            <w:r>
              <w:rPr>
                <w:rFonts w:hint="eastAsia" w:ascii="仿宋_GB2312" w:hAnsi="仿宋_GB2312" w:cs="仿宋_GB2312"/>
                <w:sz w:val="24"/>
              </w:rPr>
              <w:t>2年</w:t>
            </w:r>
          </w:p>
        </w:tc>
        <w:tc>
          <w:tcPr>
            <w:tcW w:w="102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一票否决</w:t>
            </w:r>
          </w:p>
        </w:tc>
        <w:tc>
          <w:tcPr>
            <w:tcW w:w="66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9" w:hRule="atLeast"/>
        </w:trPr>
        <w:tc>
          <w:tcPr>
            <w:tcW w:w="929"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96" w:type="dxa"/>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b/>
                <w:bCs/>
                <w:kern w:val="0"/>
                <w:sz w:val="24"/>
                <w:lang w:bidi="ar"/>
              </w:rPr>
              <w:t>合计扣分</w:t>
            </w:r>
          </w:p>
        </w:tc>
        <w:tc>
          <w:tcPr>
            <w:tcW w:w="2472" w:type="dxa"/>
            <w:gridSpan w:val="3"/>
            <w:vAlign w:val="center"/>
          </w:tcPr>
          <w:p>
            <w:pPr>
              <w:spacing w:line="330" w:lineRule="exact"/>
              <w:jc w:val="center"/>
              <w:rPr>
                <w:rFonts w:ascii="仿宋_GB2312" w:hAnsi="仿宋_GB2312" w:cs="仿宋_GB2312"/>
                <w:sz w:val="24"/>
              </w:rPr>
            </w:pPr>
          </w:p>
        </w:tc>
      </w:tr>
    </w:tbl>
    <w:p>
      <w:r>
        <w:br w:type="page"/>
      </w:r>
    </w:p>
    <w:p>
      <w:pPr>
        <w:rPr>
          <w:rFonts w:ascii="黑体" w:hAnsi="黑体" w:eastAsia="黑体" w:cs="黑体"/>
          <w:szCs w:val="32"/>
        </w:rPr>
      </w:pPr>
      <w:r>
        <w:rPr>
          <w:rFonts w:hint="eastAsia" w:ascii="黑体" w:hAnsi="黑体" w:eastAsia="黑体" w:cs="黑体"/>
          <w:szCs w:val="32"/>
        </w:rPr>
        <w:t>附件4</w:t>
      </w:r>
    </w:p>
    <w:p>
      <w:pPr>
        <w:pStyle w:val="14"/>
        <w:snapToGrid w:val="0"/>
        <w:jc w:val="center"/>
        <w:textAlignment w:val="baseline"/>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湖北省物业服务企业信用评价评分表</w:t>
      </w:r>
    </w:p>
    <w:p>
      <w:pPr>
        <w:widowControl/>
        <w:spacing w:line="330" w:lineRule="exact"/>
        <w:textAlignment w:val="center"/>
        <w:rPr>
          <w:rFonts w:ascii="方正小标宋简体" w:hAnsi="方正小标宋简体" w:eastAsia="方正小标宋简体" w:cs="方正小标宋简体"/>
          <w:sz w:val="36"/>
          <w:szCs w:val="36"/>
        </w:rPr>
      </w:pPr>
      <w:r>
        <w:rPr>
          <w:rFonts w:hint="eastAsia" w:ascii="黑体" w:hAnsi="黑体" w:eastAsia="黑体" w:cs="黑体"/>
          <w:sz w:val="24"/>
        </w:rPr>
        <w:t>企业名称：                                                     填报时间：                  填报人：</w:t>
      </w:r>
    </w:p>
    <w:tbl>
      <w:tblPr>
        <w:tblStyle w:val="9"/>
        <w:tblW w:w="14718" w:type="dxa"/>
        <w:tblInd w:w="-2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44"/>
        <w:gridCol w:w="9091"/>
        <w:gridCol w:w="2183"/>
        <w:gridCol w:w="837"/>
        <w:gridCol w:w="1017"/>
        <w:gridCol w:w="6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61" w:hRule="atLeast"/>
          <w:tblHeader/>
        </w:trPr>
        <w:tc>
          <w:tcPr>
            <w:tcW w:w="944"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项目</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类别</w:t>
            </w:r>
          </w:p>
        </w:tc>
        <w:tc>
          <w:tcPr>
            <w:tcW w:w="11274" w:type="dxa"/>
            <w:gridSpan w:val="2"/>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内容及评价标准</w:t>
            </w:r>
          </w:p>
        </w:tc>
        <w:tc>
          <w:tcPr>
            <w:tcW w:w="837"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有效</w:t>
            </w:r>
          </w:p>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期限</w:t>
            </w:r>
          </w:p>
        </w:tc>
        <w:tc>
          <w:tcPr>
            <w:tcW w:w="1017"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最高</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加减分</w:t>
            </w:r>
          </w:p>
        </w:tc>
        <w:tc>
          <w:tcPr>
            <w:tcW w:w="646"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评价 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3" w:hRule="atLeast"/>
        </w:trPr>
        <w:tc>
          <w:tcPr>
            <w:tcW w:w="944"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sz w:val="24"/>
              </w:rPr>
              <w:t>规模以上物业服务企业，计5分。</w:t>
            </w:r>
          </w:p>
        </w:tc>
        <w:tc>
          <w:tcPr>
            <w:tcW w:w="837"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5</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3" w:hRule="atLeast"/>
        </w:trPr>
        <w:tc>
          <w:tcPr>
            <w:tcW w:w="944" w:type="dxa"/>
            <w:vMerge w:val="continue"/>
            <w:vAlign w:val="center"/>
          </w:tcPr>
          <w:p>
            <w:pPr>
              <w:pStyle w:val="14"/>
              <w:snapToGrid w:val="0"/>
              <w:spacing w:line="330" w:lineRule="exact"/>
              <w:jc w:val="center"/>
              <w:textAlignment w:val="baseline"/>
              <w:rPr>
                <w:rFonts w:ascii="黑体" w:hAnsi="黑体" w:eastAsia="黑体" w:cs="黑体"/>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rPr>
              <w:t>在湖北省行政区域内承接物业服务项目，在管面积合计达150万、100万、50万、20万平方米，分别计4分、3分、2分、1分。以物业服务合同载明的建筑面积为准。</w:t>
            </w:r>
          </w:p>
        </w:tc>
        <w:tc>
          <w:tcPr>
            <w:tcW w:w="837"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sz w:val="24"/>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4</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3" w:hRule="atLeast"/>
        </w:trPr>
        <w:tc>
          <w:tcPr>
            <w:tcW w:w="944" w:type="dxa"/>
            <w:vMerge w:val="continue"/>
            <w:vAlign w:val="center"/>
          </w:tcPr>
          <w:p>
            <w:pPr>
              <w:pStyle w:val="14"/>
              <w:snapToGrid w:val="0"/>
              <w:spacing w:line="330" w:lineRule="exact"/>
              <w:jc w:val="center"/>
              <w:textAlignment w:val="baseline"/>
              <w:rPr>
                <w:rFonts w:ascii="黑体" w:hAnsi="黑体" w:eastAsia="黑体" w:cs="黑体"/>
              </w:rPr>
            </w:pPr>
          </w:p>
        </w:tc>
        <w:tc>
          <w:tcPr>
            <w:tcW w:w="11274" w:type="dxa"/>
            <w:gridSpan w:val="2"/>
            <w:vAlign w:val="center"/>
          </w:tcPr>
          <w:p>
            <w:pPr>
              <w:widowControl/>
              <w:jc w:val="left"/>
              <w:textAlignment w:val="center"/>
              <w:rPr>
                <w:rFonts w:ascii="仿宋_GB2312" w:hAnsi="仿宋_GB2312" w:cs="仿宋_GB2312"/>
                <w:kern w:val="0"/>
                <w:sz w:val="24"/>
              </w:rPr>
            </w:pPr>
            <w:r>
              <w:rPr>
                <w:rFonts w:hint="eastAsia" w:ascii="仿宋_GB2312" w:hAnsi="仿宋_GB2312" w:cs="仿宋_GB2312"/>
                <w:sz w:val="24"/>
              </w:rPr>
              <w:t>纳税信用评为A级的，得2分；评为B级的，得1分。</w:t>
            </w:r>
          </w:p>
        </w:tc>
        <w:tc>
          <w:tcPr>
            <w:tcW w:w="83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kern w:val="0"/>
                <w:sz w:val="24"/>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2</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50"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textAlignment w:val="center"/>
              <w:rPr>
                <w:rFonts w:ascii="仿宋_GB2312" w:hAnsi="仿宋_GB2312" w:cs="仿宋_GB2312"/>
                <w:sz w:val="24"/>
              </w:rPr>
            </w:pPr>
            <w:r>
              <w:rPr>
                <w:rFonts w:hint="eastAsia" w:ascii="仿宋_GB2312" w:hAnsi="仿宋_GB2312" w:cs="仿宋_GB2312"/>
                <w:kern w:val="0"/>
                <w:sz w:val="24"/>
                <w:lang w:bidi="ar"/>
              </w:rPr>
              <w:t>参与保障性住房、老旧小区物业服务，每满3万平方米计0.5分。以物业服务合同载明的建筑面积为准。</w:t>
            </w:r>
          </w:p>
        </w:tc>
        <w:tc>
          <w:tcPr>
            <w:tcW w:w="837"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sz w:val="24"/>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3</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4"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textAlignment w:val="center"/>
              <w:rPr>
                <w:rFonts w:ascii="仿宋_GB2312" w:hAnsi="仿宋_GB2312" w:cs="仿宋_GB2312"/>
                <w:kern w:val="0"/>
                <w:sz w:val="24"/>
                <w:lang w:bidi="ar"/>
              </w:rPr>
            </w:pPr>
            <w:r>
              <w:rPr>
                <w:rFonts w:hint="eastAsia" w:ascii="仿宋_GB2312" w:hAnsi="仿宋_GB2312" w:cs="仿宋_GB2312"/>
                <w:kern w:val="0"/>
                <w:sz w:val="24"/>
                <w:lang w:bidi="ar"/>
              </w:rPr>
              <w:t>企业成立党委的计3分，成立党总支的计2分，成立党支部的计1分，采取联合建、挂靠建等形式的计0.5分，主动申请选派党建指导员的计0.5分。企业或在管项目被各级党委政府、物业行业主管部门列入党建教育基地或党建示范点的，计2分。</w:t>
            </w:r>
          </w:p>
        </w:tc>
        <w:tc>
          <w:tcPr>
            <w:tcW w:w="837" w:type="dxa"/>
            <w:vAlign w:val="center"/>
          </w:tcPr>
          <w:p>
            <w:pPr>
              <w:widowControl/>
              <w:textAlignment w:val="center"/>
              <w:rPr>
                <w:rFonts w:ascii="仿宋_GB2312" w:hAnsi="仿宋_GB2312" w:cs="仿宋_GB2312"/>
                <w:kern w:val="0"/>
                <w:sz w:val="24"/>
                <w:lang w:bidi="ar"/>
              </w:rPr>
            </w:pPr>
            <w:r>
              <w:rPr>
                <w:rFonts w:hint="eastAsia" w:ascii="仿宋_GB2312" w:hAnsi="仿宋_GB2312" w:cs="仿宋_GB2312"/>
                <w:kern w:val="0"/>
                <w:sz w:val="24"/>
                <w:lang w:bidi="ar"/>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6</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75"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9091" w:type="dxa"/>
            <w:vAlign w:val="center"/>
          </w:tcPr>
          <w:p>
            <w:pPr>
              <w:widowControl/>
              <w:textAlignment w:val="center"/>
              <w:rPr>
                <w:rFonts w:ascii="仿宋_GB2312" w:hAnsi="仿宋_GB2312" w:cs="仿宋_GB2312"/>
                <w:sz w:val="24"/>
              </w:rPr>
            </w:pPr>
            <w:r>
              <w:rPr>
                <w:rFonts w:hint="eastAsia" w:ascii="仿宋_GB2312" w:hAnsi="仿宋_GB2312" w:cs="仿宋_GB2312"/>
                <w:kern w:val="0"/>
                <w:sz w:val="24"/>
                <w:lang w:bidi="ar"/>
              </w:rPr>
              <w:t>由街道社区评价，物业服务企业能够接受街道社区党组织领导，积极融入基层社会治理，非常符合计2分，基本符合计1分。</w:t>
            </w:r>
          </w:p>
        </w:tc>
        <w:tc>
          <w:tcPr>
            <w:tcW w:w="2183" w:type="dxa"/>
            <w:vMerge w:val="restart"/>
            <w:vAlign w:val="center"/>
          </w:tcPr>
          <w:p>
            <w:pPr>
              <w:widowControl/>
              <w:textAlignment w:val="center"/>
              <w:rPr>
                <w:rFonts w:ascii="仿宋_GB2312" w:hAnsi="仿宋_GB2312" w:cs="仿宋_GB2312"/>
                <w:kern w:val="0"/>
                <w:sz w:val="24"/>
                <w:lang w:bidi="ar"/>
              </w:rPr>
            </w:pPr>
            <w:r>
              <w:rPr>
                <w:rFonts w:hint="eastAsia" w:ascii="仿宋_GB2312" w:hAnsi="仿宋_GB2312" w:cs="仿宋_GB2312"/>
                <w:kern w:val="0"/>
                <w:sz w:val="24"/>
                <w:lang w:bidi="ar"/>
              </w:rPr>
              <w:t>物业服务企业有多个项目的，取所有项目总得分的平均值，即以单个项目得分相加为分子、在管服务项目总数为分母计算</w:t>
            </w:r>
          </w:p>
        </w:tc>
        <w:tc>
          <w:tcPr>
            <w:tcW w:w="837"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sz w:val="24"/>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2</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36" w:hRule="atLeast"/>
        </w:trPr>
        <w:tc>
          <w:tcPr>
            <w:tcW w:w="944"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9091" w:type="dxa"/>
            <w:vAlign w:val="center"/>
          </w:tcPr>
          <w:p>
            <w:pPr>
              <w:widowControl/>
              <w:textAlignment w:val="center"/>
              <w:rPr>
                <w:rFonts w:ascii="仿宋_GB2312" w:hAnsi="仿宋_GB2312" w:cs="仿宋_GB2312"/>
                <w:sz w:val="24"/>
              </w:rPr>
            </w:pPr>
            <w:r>
              <w:rPr>
                <w:rFonts w:hint="eastAsia" w:ascii="仿宋_GB2312" w:hAnsi="仿宋_GB2312" w:cs="仿宋_GB2312"/>
                <w:kern w:val="0"/>
                <w:sz w:val="24"/>
                <w:lang w:bidi="ar"/>
              </w:rPr>
              <w:t>由街道社区评价，物业服务企业能够积极配合街道社区调处物业服务纠纷，积极配合计1分，基本配合计0.5分。</w:t>
            </w:r>
          </w:p>
        </w:tc>
        <w:tc>
          <w:tcPr>
            <w:tcW w:w="2183" w:type="dxa"/>
            <w:vMerge w:val="continue"/>
            <w:vAlign w:val="center"/>
          </w:tcPr>
          <w:p>
            <w:pPr>
              <w:widowControl/>
              <w:textAlignment w:val="center"/>
              <w:rPr>
                <w:rFonts w:ascii="仿宋_GB2312" w:hAnsi="仿宋_GB2312" w:cs="仿宋_GB2312"/>
                <w:kern w:val="0"/>
                <w:sz w:val="24"/>
                <w:lang w:bidi="ar"/>
              </w:rPr>
            </w:pPr>
          </w:p>
        </w:tc>
        <w:tc>
          <w:tcPr>
            <w:tcW w:w="837"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sz w:val="24"/>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944"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9091" w:type="dxa"/>
            <w:vAlign w:val="center"/>
          </w:tcPr>
          <w:p>
            <w:pPr>
              <w:widowControl/>
              <w:textAlignment w:val="center"/>
              <w:rPr>
                <w:rFonts w:ascii="仿宋_GB2312" w:hAnsi="仿宋_GB2312" w:cs="仿宋_GB2312"/>
                <w:sz w:val="24"/>
              </w:rPr>
            </w:pPr>
            <w:r>
              <w:rPr>
                <w:rFonts w:hint="eastAsia" w:ascii="仿宋_GB2312" w:hAnsi="仿宋_GB2312" w:cs="仿宋_GB2312"/>
                <w:kern w:val="0"/>
                <w:sz w:val="24"/>
                <w:lang w:bidi="ar"/>
              </w:rPr>
              <w:t>由街道社区评价，物业服务企业能够积极配合街道社区开展精神文明创建、应急事件处置等工作，积极配合计1分，基本配合计0.5分。</w:t>
            </w:r>
          </w:p>
        </w:tc>
        <w:tc>
          <w:tcPr>
            <w:tcW w:w="2183" w:type="dxa"/>
            <w:vMerge w:val="continue"/>
            <w:vAlign w:val="center"/>
          </w:tcPr>
          <w:p>
            <w:pPr>
              <w:widowControl/>
              <w:textAlignment w:val="center"/>
              <w:rPr>
                <w:rFonts w:ascii="仿宋_GB2312" w:hAnsi="仿宋_GB2312" w:cs="仿宋_GB2312"/>
                <w:kern w:val="0"/>
                <w:sz w:val="24"/>
                <w:lang w:bidi="ar"/>
              </w:rPr>
            </w:pPr>
          </w:p>
        </w:tc>
        <w:tc>
          <w:tcPr>
            <w:tcW w:w="837"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sz w:val="24"/>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3" w:hRule="atLeast"/>
        </w:trPr>
        <w:tc>
          <w:tcPr>
            <w:tcW w:w="944"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9091" w:type="dxa"/>
            <w:vAlign w:val="center"/>
          </w:tcPr>
          <w:p>
            <w:pPr>
              <w:widowControl/>
              <w:textAlignment w:val="center"/>
              <w:rPr>
                <w:rFonts w:ascii="仿宋_GB2312" w:hAnsi="仿宋_GB2312" w:cs="仿宋_GB2312"/>
                <w:kern w:val="0"/>
                <w:sz w:val="24"/>
                <w:lang w:bidi="ar"/>
              </w:rPr>
            </w:pPr>
            <w:r>
              <w:rPr>
                <w:rFonts w:hint="eastAsia" w:ascii="仿宋_GB2312" w:hAnsi="仿宋_GB2312" w:cs="仿宋_GB2312"/>
                <w:kern w:val="0"/>
                <w:sz w:val="24"/>
                <w:lang w:bidi="ar"/>
              </w:rPr>
              <w:t>在街道指导下开展业主满意度评价，物业服务综合满意率达95%、90%、85%、80%，分别记4、3、2、1分。</w:t>
            </w:r>
          </w:p>
        </w:tc>
        <w:tc>
          <w:tcPr>
            <w:tcW w:w="2183" w:type="dxa"/>
            <w:vMerge w:val="continue"/>
            <w:vAlign w:val="center"/>
          </w:tcPr>
          <w:p>
            <w:pPr>
              <w:spacing w:line="400" w:lineRule="exact"/>
              <w:rPr>
                <w:rFonts w:ascii="仿宋_GB2312" w:hAnsi="仿宋_GB2312" w:cs="仿宋_GB2312"/>
                <w:kern w:val="0"/>
                <w:sz w:val="24"/>
                <w:lang w:bidi="ar"/>
              </w:rPr>
            </w:pPr>
          </w:p>
        </w:tc>
        <w:tc>
          <w:tcPr>
            <w:tcW w:w="837" w:type="dxa"/>
            <w:vAlign w:val="center"/>
          </w:tcPr>
          <w:p>
            <w:pPr>
              <w:spacing w:line="400" w:lineRule="exact"/>
              <w:jc w:val="center"/>
              <w:rPr>
                <w:rFonts w:ascii="仿宋_GB2312" w:hAnsi="仿宋_GB2312" w:cs="仿宋_GB2312"/>
                <w:kern w:val="0"/>
                <w:sz w:val="24"/>
              </w:rPr>
            </w:pPr>
            <w:r>
              <w:rPr>
                <w:rFonts w:hint="eastAsia" w:ascii="仿宋_GB2312" w:hAnsi="仿宋_GB2312" w:cs="仿宋_GB2312"/>
                <w:sz w:val="24"/>
              </w:rPr>
              <w:t>1年</w:t>
            </w:r>
          </w:p>
        </w:tc>
        <w:tc>
          <w:tcPr>
            <w:tcW w:w="1017"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4</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3" w:hRule="atLeast"/>
        </w:trPr>
        <w:tc>
          <w:tcPr>
            <w:tcW w:w="944"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74" w:type="dxa"/>
            <w:gridSpan w:val="2"/>
            <w:vAlign w:val="center"/>
          </w:tcPr>
          <w:p>
            <w:pPr>
              <w:spacing w:line="400" w:lineRule="exact"/>
              <w:rPr>
                <w:rFonts w:ascii="仿宋_GB2312" w:hAnsi="仿宋_GB2312" w:cs="仿宋_GB2312"/>
                <w:sz w:val="24"/>
              </w:rPr>
            </w:pPr>
            <w:r>
              <w:rPr>
                <w:rFonts w:hint="eastAsia" w:ascii="仿宋_GB2312" w:hAnsi="仿宋_GB2312" w:cs="仿宋_GB2312"/>
                <w:kern w:val="0"/>
                <w:sz w:val="24"/>
                <w:lang w:bidi="ar"/>
              </w:rPr>
              <w:t>企业、项目或员工因实施物业服务活动得到主流新闻媒体正面报道，国家级计3分，省级计2分，设区市级计1分。</w:t>
            </w:r>
          </w:p>
        </w:tc>
        <w:tc>
          <w:tcPr>
            <w:tcW w:w="837"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1017"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3</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企业、项目或员工因实施物业服务活动获得党委、政府表扬表彰。以正式文件为准。省级及以上计5分，设区市级计4分，县级计3分，街道（乡、镇）级计2分。</w:t>
            </w:r>
          </w:p>
        </w:tc>
        <w:tc>
          <w:tcPr>
            <w:tcW w:w="837" w:type="dxa"/>
            <w:vMerge w:val="restart"/>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2年、2年、1年、1年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5</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widowControl/>
              <w:spacing w:line="330" w:lineRule="exact"/>
              <w:jc w:val="center"/>
              <w:textAlignment w:val="center"/>
              <w:rPr>
                <w:rFonts w:ascii="仿宋_GB2312" w:hAnsi="仿宋_GB2312" w:cs="仿宋_GB2312"/>
                <w:b/>
                <w:bCs/>
                <w:sz w:val="24"/>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企业、项目或员工因实施物业服务活动获得物业行业主管部门表扬表彰。以正式文件为准。国家级5分，省级计4分，设区市级计3分，县级计2分。</w:t>
            </w:r>
          </w:p>
        </w:tc>
        <w:tc>
          <w:tcPr>
            <w:tcW w:w="837" w:type="dxa"/>
            <w:vMerge w:val="continue"/>
            <w:vAlign w:val="center"/>
          </w:tcPr>
          <w:p>
            <w:pPr>
              <w:widowControl/>
              <w:spacing w:line="330" w:lineRule="exact"/>
              <w:jc w:val="center"/>
              <w:textAlignment w:val="center"/>
              <w:rPr>
                <w:rFonts w:ascii="仿宋_GB2312" w:hAnsi="仿宋_GB2312" w:cs="仿宋_GB2312"/>
                <w:kern w:val="0"/>
                <w:sz w:val="24"/>
              </w:rPr>
            </w:pP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5</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kern w:val="0"/>
                <w:sz w:val="24"/>
                <w:lang w:bidi="ar"/>
              </w:rPr>
            </w:pPr>
            <w:r>
              <w:rPr>
                <w:rFonts w:hint="eastAsia" w:ascii="仿宋_GB2312" w:hAnsi="仿宋_GB2312" w:cs="仿宋_GB2312"/>
                <w:kern w:val="0"/>
                <w:sz w:val="24"/>
                <w:lang w:bidi="ar"/>
              </w:rPr>
              <w:t>在管项目物业服务具有典型示范性，得到市级以上党委政府、物业行业主管部门认定的。以正式文件为准。国家级计4分，省级计3分，设区市级计2分，县级计1分。</w:t>
            </w:r>
          </w:p>
        </w:tc>
        <w:tc>
          <w:tcPr>
            <w:tcW w:w="837" w:type="dxa"/>
            <w:vMerge w:val="continue"/>
            <w:vAlign w:val="center"/>
          </w:tcPr>
          <w:p>
            <w:pPr>
              <w:widowControl/>
              <w:spacing w:line="330" w:lineRule="exact"/>
              <w:jc w:val="center"/>
              <w:textAlignment w:val="center"/>
              <w:rPr>
                <w:rFonts w:ascii="仿宋_GB2312" w:hAnsi="仿宋_GB2312" w:cs="仿宋_GB2312"/>
                <w:sz w:val="24"/>
              </w:rPr>
            </w:pP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4</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获评标准化试点项目；或作为主编单位、主要起草单位编写物业服务国家、行业、地方标准、文件以及团体标准。国家级计5分。获得企业标准“领跑者”认证，计5分，省级计4分。设区市级和团体标准计3分。</w:t>
            </w:r>
          </w:p>
        </w:tc>
        <w:tc>
          <w:tcPr>
            <w:tcW w:w="837" w:type="dxa"/>
            <w:vMerge w:val="continue"/>
            <w:vAlign w:val="center"/>
          </w:tcPr>
          <w:p>
            <w:pPr>
              <w:widowControl/>
              <w:spacing w:line="330" w:lineRule="exact"/>
              <w:jc w:val="center"/>
              <w:textAlignment w:val="center"/>
              <w:rPr>
                <w:rFonts w:ascii="仿宋_GB2312" w:hAnsi="仿宋_GB2312" w:cs="仿宋_GB2312"/>
                <w:sz w:val="24"/>
              </w:rPr>
            </w:pP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5</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企业、项目或员工获得行业协会表扬表彰。以正式文件为准。国家级计3分，省级计2分，设区市级计1分，县级计0.5分。</w:t>
            </w:r>
          </w:p>
        </w:tc>
        <w:tc>
          <w:tcPr>
            <w:tcW w:w="83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3</w:t>
            </w:r>
          </w:p>
        </w:tc>
        <w:tc>
          <w:tcPr>
            <w:tcW w:w="646" w:type="dxa"/>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2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b/>
                <w:bCs/>
                <w:kern w:val="0"/>
                <w:sz w:val="24"/>
                <w:lang w:bidi="ar"/>
              </w:rPr>
              <w:t>合计加分</w:t>
            </w:r>
          </w:p>
        </w:tc>
        <w:tc>
          <w:tcPr>
            <w:tcW w:w="2500" w:type="dxa"/>
            <w:gridSpan w:val="3"/>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0" w:hRule="atLeast"/>
        </w:trPr>
        <w:tc>
          <w:tcPr>
            <w:tcW w:w="944"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不良信用信息</w:t>
            </w: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发生一般安全事故，经司法机关或行政机关认定，由物业服务企业负全部责任或主要责任。每次扣5分。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2年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widowControl/>
              <w:spacing w:line="330" w:lineRule="exact"/>
              <w:jc w:val="center"/>
              <w:textAlignment w:val="center"/>
              <w:rPr>
                <w:rFonts w:ascii="仿宋_GB2312" w:hAnsi="仿宋_GB2312" w:cs="仿宋_GB2312"/>
                <w:b/>
                <w:bCs/>
                <w:sz w:val="24"/>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擅自撤离物业区域、停止物业服务，或者被解聘的物业服务企业未按照规定办理交接手续、拒不退出，每项次扣5分。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2年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widowControl/>
              <w:spacing w:line="330" w:lineRule="exact"/>
              <w:jc w:val="center"/>
              <w:textAlignment w:val="center"/>
              <w:rPr>
                <w:rFonts w:ascii="仿宋_GB2312" w:hAnsi="仿宋_GB2312" w:cs="仿宋_GB2312"/>
                <w:b/>
                <w:bCs/>
                <w:sz w:val="24"/>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中断或者以限时限量等方式变相中断供水、供电、供气、供热以及实施损害业主合法权益的其他行为，每次扣5分。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2年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44"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违法将一个物业服务区域内的全部物业管理一并委托给他人，每次扣5分。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2年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45"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未按照规定在物业区域内公示有关信息，每项次扣3分。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擅自允许他人利用共用部位、共用设施设备进行广告、宣传、经营等活动；擅自设置营业摊点，每项次扣3分。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6"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未按照规定备案或者保存、移交物业承接查验资料、档案；未按照规定备案物业服务合同，每项次扣3分。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17"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sz w:val="24"/>
              </w:rPr>
              <w:t>未按规定办理承接查验手续承接物业管理项目，每项次扣3分。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sz w:val="24"/>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4" w:hRule="atLeast"/>
        </w:trPr>
        <w:tc>
          <w:tcPr>
            <w:tcW w:w="944"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不良信用信息</w:t>
            </w: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sz w:val="24"/>
              </w:rPr>
              <w:t>未经业主大会同意，擅自改变物业管理用房用途，每次扣5分。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sz w:val="24"/>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3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sz w:val="24"/>
              </w:rPr>
              <w:t>擅自改变物业管理区域内公共建筑和共用设施用途，或擅自占用、挖掘物业服务区域内道路、场地等，每项次扣3分。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sz w:val="24"/>
              </w:rPr>
              <w:t>1年</w:t>
            </w:r>
          </w:p>
        </w:tc>
        <w:tc>
          <w:tcPr>
            <w:tcW w:w="1017"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37" w:hRule="atLeast"/>
        </w:trPr>
        <w:tc>
          <w:tcPr>
            <w:tcW w:w="944"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rPr>
              <w:t>受委托销售或出租物业区域内的规划停车位、车库时，将规划停车位、车库销售或变相销售给业主以外的单位和个人；规划停车位、车库优先满足业主需要后对外出租时，每次租赁期限超过一年；对物业区域内占用业主共有道路或场地用于停放车辆的车位进行销售或变相销售，每项次扣5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sz w:val="24"/>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95" w:hRule="atLeast"/>
        </w:trPr>
        <w:tc>
          <w:tcPr>
            <w:tcW w:w="944" w:type="dxa"/>
            <w:vMerge w:val="continue"/>
            <w:vAlign w:val="center"/>
          </w:tcPr>
          <w:p>
            <w:pPr>
              <w:widowControl/>
              <w:spacing w:line="330" w:lineRule="exact"/>
              <w:jc w:val="center"/>
              <w:textAlignment w:val="center"/>
              <w:rPr>
                <w:rFonts w:ascii="仿宋_GB2312" w:hAnsi="仿宋_GB2312" w:cs="仿宋_GB2312"/>
                <w:b/>
                <w:bCs/>
                <w:sz w:val="24"/>
              </w:rPr>
            </w:pPr>
          </w:p>
        </w:tc>
        <w:tc>
          <w:tcPr>
            <w:tcW w:w="11274" w:type="dxa"/>
            <w:gridSpan w:val="2"/>
            <w:vAlign w:val="center"/>
          </w:tcPr>
          <w:p>
            <w:pPr>
              <w:widowControl/>
              <w:jc w:val="left"/>
              <w:textAlignment w:val="center"/>
              <w:rPr>
                <w:rFonts w:ascii="仿宋_GB2312" w:hAnsi="仿宋_GB2312" w:cs="仿宋_GB2312"/>
                <w:kern w:val="0"/>
                <w:sz w:val="24"/>
              </w:rPr>
            </w:pPr>
            <w:r>
              <w:rPr>
                <w:rFonts w:hint="eastAsia" w:ascii="仿宋_GB2312" w:hAnsi="仿宋_GB2312" w:cs="仿宋_GB2312"/>
                <w:kern w:val="0"/>
                <w:sz w:val="24"/>
              </w:rPr>
              <w:t>对物业小区内的禁止性行为，没有及时劝阻，并向有关行政主管部门报告，每次扣2分。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05" w:hRule="atLeast"/>
        </w:trPr>
        <w:tc>
          <w:tcPr>
            <w:tcW w:w="944" w:type="dxa"/>
            <w:vMerge w:val="continue"/>
            <w:vAlign w:val="center"/>
          </w:tcPr>
          <w:p>
            <w:pPr>
              <w:widowControl/>
              <w:spacing w:line="330" w:lineRule="exact"/>
              <w:jc w:val="center"/>
              <w:textAlignment w:val="center"/>
              <w:rPr>
                <w:rFonts w:ascii="仿宋_GB2312" w:hAnsi="仿宋_GB2312" w:cs="仿宋_GB2312"/>
                <w:b/>
                <w:bCs/>
                <w:sz w:val="24"/>
              </w:rPr>
            </w:pPr>
          </w:p>
        </w:tc>
        <w:tc>
          <w:tcPr>
            <w:tcW w:w="11274" w:type="dxa"/>
            <w:gridSpan w:val="2"/>
            <w:vAlign w:val="center"/>
          </w:tcPr>
          <w:p>
            <w:pPr>
              <w:widowControl/>
              <w:jc w:val="left"/>
              <w:textAlignment w:val="center"/>
              <w:rPr>
                <w:rFonts w:ascii="仿宋_GB2312" w:hAnsi="仿宋_GB2312" w:cs="仿宋_GB2312"/>
                <w:kern w:val="0"/>
                <w:sz w:val="24"/>
              </w:rPr>
            </w:pPr>
            <w:r>
              <w:rPr>
                <w:rFonts w:hint="eastAsia" w:ascii="仿宋_GB2312" w:hAnsi="仿宋_GB2312" w:cs="仿宋_GB2312"/>
                <w:kern w:val="0"/>
                <w:sz w:val="24"/>
              </w:rPr>
              <w:t>泄露业主信息或者对业主进行骚扰、恐吓、打击报复、采取暴力行为的，每次扣5分。</w:t>
            </w:r>
          </w:p>
        </w:tc>
        <w:tc>
          <w:tcPr>
            <w:tcW w:w="837" w:type="dxa"/>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kern w:val="0"/>
                <w:sz w:val="24"/>
                <w:lang w:bidi="ar"/>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90" w:hRule="atLeast"/>
        </w:trPr>
        <w:tc>
          <w:tcPr>
            <w:tcW w:w="944" w:type="dxa"/>
            <w:vMerge w:val="continue"/>
            <w:vAlign w:val="center"/>
          </w:tcPr>
          <w:p>
            <w:pPr>
              <w:widowControl/>
              <w:spacing w:line="330" w:lineRule="exact"/>
              <w:jc w:val="center"/>
              <w:textAlignment w:val="center"/>
              <w:rPr>
                <w:rFonts w:ascii="仿宋_GB2312" w:hAnsi="仿宋_GB2312" w:cs="仿宋_GB2312"/>
                <w:b/>
                <w:bCs/>
                <w:sz w:val="24"/>
              </w:rPr>
            </w:pPr>
          </w:p>
        </w:tc>
        <w:tc>
          <w:tcPr>
            <w:tcW w:w="11274" w:type="dxa"/>
            <w:gridSpan w:val="2"/>
            <w:vAlign w:val="center"/>
          </w:tcPr>
          <w:p>
            <w:pPr>
              <w:widowControl/>
              <w:jc w:val="left"/>
              <w:textAlignment w:val="center"/>
              <w:rPr>
                <w:rFonts w:ascii="仿宋_GB2312" w:hAnsi="仿宋_GB2312" w:cs="仿宋_GB2312"/>
                <w:kern w:val="0"/>
                <w:sz w:val="24"/>
                <w:lang w:bidi="ar"/>
              </w:rPr>
            </w:pPr>
            <w:r>
              <w:rPr>
                <w:rFonts w:hint="eastAsia" w:ascii="仿宋_GB2312" w:hAnsi="仿宋_GB2312" w:cs="仿宋_GB2312"/>
                <w:kern w:val="0"/>
                <w:sz w:val="24"/>
                <w:lang w:bidi="ar"/>
              </w:rPr>
              <w:t>未定期对管理的二次供水设施进行清洗和水质检测的，或水质检测不合格的，每次扣5分。</w:t>
            </w:r>
          </w:p>
        </w:tc>
        <w:tc>
          <w:tcPr>
            <w:tcW w:w="837" w:type="dxa"/>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kern w:val="0"/>
                <w:sz w:val="24"/>
                <w:lang w:bidi="ar"/>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40" w:hRule="atLeast"/>
        </w:trPr>
        <w:tc>
          <w:tcPr>
            <w:tcW w:w="944" w:type="dxa"/>
            <w:vMerge w:val="continue"/>
            <w:vAlign w:val="center"/>
          </w:tcPr>
          <w:p>
            <w:pPr>
              <w:widowControl/>
              <w:spacing w:line="330" w:lineRule="exact"/>
              <w:jc w:val="center"/>
              <w:textAlignment w:val="center"/>
              <w:rPr>
                <w:rFonts w:ascii="仿宋_GB2312" w:hAnsi="仿宋_GB2312" w:cs="仿宋_GB2312"/>
                <w:b/>
                <w:bCs/>
                <w:sz w:val="24"/>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在行政管理活动中提供虚假材料或拒不提供有关材料，或未按要求提供信用信息，每项次扣5分。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被相关行政管理部门或街道（乡、镇）发现、查实问题并责令整改，拒不整改、未按期整改每项次扣5分，整改不到位每项次扣2分。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15</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5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kern w:val="0"/>
                <w:sz w:val="24"/>
                <w:lang w:bidi="ar"/>
              </w:rPr>
            </w:pPr>
            <w:r>
              <w:rPr>
                <w:rFonts w:hint="eastAsia" w:ascii="仿宋_GB2312" w:hAnsi="仿宋_GB2312" w:cs="仿宋_GB2312"/>
                <w:kern w:val="0"/>
                <w:sz w:val="24"/>
              </w:rPr>
              <w:t>各级行政管理部门红黑榜评价中企业或在管项目被列入“黑榜”名单的，每次扣5分。</w:t>
            </w:r>
          </w:p>
        </w:tc>
        <w:tc>
          <w:tcPr>
            <w:tcW w:w="837"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5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kern w:val="0"/>
                <w:sz w:val="24"/>
              </w:rPr>
            </w:pPr>
            <w:r>
              <w:rPr>
                <w:rFonts w:hint="eastAsia" w:ascii="仿宋_GB2312" w:hAnsi="仿宋_GB2312" w:cs="仿宋_GB2312"/>
                <w:kern w:val="0"/>
                <w:sz w:val="24"/>
              </w:rPr>
              <w:t>不执行政府依法实施的应急处置措施和其他管理措施，不积极配合开展相关工作的，每次扣3分。</w:t>
            </w:r>
          </w:p>
        </w:tc>
        <w:tc>
          <w:tcPr>
            <w:tcW w:w="837" w:type="dxa"/>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kern w:val="0"/>
                <w:sz w:val="24"/>
                <w:lang w:bidi="ar"/>
              </w:rPr>
              <w:t>1年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10</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25"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kern w:val="0"/>
                <w:sz w:val="24"/>
              </w:rPr>
            </w:pPr>
            <w:r>
              <w:rPr>
                <w:rFonts w:hint="eastAsia" w:ascii="仿宋_GB2312" w:hAnsi="仿宋_GB2312" w:cs="仿宋_GB2312"/>
                <w:kern w:val="0"/>
                <w:sz w:val="24"/>
                <w:lang w:bidi="ar"/>
              </w:rPr>
              <w:t>发生较大及以上安全事故，经司法机关或行政机关认定，由物业服务企业负全部责任或主要责任的。</w:t>
            </w:r>
          </w:p>
        </w:tc>
        <w:tc>
          <w:tcPr>
            <w:tcW w:w="837" w:type="dxa"/>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kern w:val="0"/>
                <w:sz w:val="24"/>
                <w:lang w:bidi="ar"/>
              </w:rPr>
              <w:t>2年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一票否决</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25"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kern w:val="0"/>
                <w:sz w:val="24"/>
                <w:lang w:bidi="ar"/>
              </w:rPr>
            </w:pPr>
            <w:r>
              <w:rPr>
                <w:rFonts w:hint="eastAsia" w:ascii="仿宋_GB2312" w:hAnsi="仿宋_GB2312" w:cs="仿宋_GB2312"/>
                <w:sz w:val="24"/>
              </w:rPr>
              <w:t>挪用住宅专项维修资金。</w:t>
            </w:r>
          </w:p>
        </w:tc>
        <w:tc>
          <w:tcPr>
            <w:tcW w:w="837" w:type="dxa"/>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kern w:val="0"/>
                <w:sz w:val="24"/>
                <w:lang w:bidi="ar"/>
              </w:rPr>
              <w:t>2年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一票否决</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25"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left"/>
              <w:textAlignment w:val="center"/>
              <w:rPr>
                <w:rFonts w:ascii="仿宋_GB2312" w:hAnsi="仿宋_GB2312" w:cs="仿宋_GB2312"/>
                <w:kern w:val="0"/>
                <w:sz w:val="24"/>
                <w:lang w:bidi="ar"/>
              </w:rPr>
            </w:pPr>
            <w:r>
              <w:rPr>
                <w:rFonts w:hint="eastAsia" w:ascii="仿宋_GB2312" w:hAnsi="仿宋_GB2312" w:cs="仿宋_GB2312"/>
                <w:kern w:val="0"/>
                <w:sz w:val="24"/>
                <w:lang w:bidi="ar"/>
              </w:rPr>
              <w:t>利用虚假资料等不正当手段谋取项目中标，或者协助他人围标串标。</w:t>
            </w:r>
          </w:p>
        </w:tc>
        <w:tc>
          <w:tcPr>
            <w:tcW w:w="837" w:type="dxa"/>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kern w:val="0"/>
                <w:sz w:val="24"/>
                <w:lang w:bidi="ar"/>
              </w:rPr>
              <w:t>2年</w:t>
            </w:r>
          </w:p>
        </w:tc>
        <w:tc>
          <w:tcPr>
            <w:tcW w:w="1017"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一票否决</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25"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gridSpan w:val="2"/>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b/>
                <w:bCs/>
                <w:kern w:val="0"/>
                <w:sz w:val="24"/>
                <w:lang w:bidi="ar"/>
              </w:rPr>
              <w:t>合计扣分</w:t>
            </w:r>
          </w:p>
        </w:tc>
        <w:tc>
          <w:tcPr>
            <w:tcW w:w="2500" w:type="dxa"/>
            <w:gridSpan w:val="3"/>
            <w:vAlign w:val="center"/>
          </w:tcPr>
          <w:p>
            <w:pPr>
              <w:spacing w:line="330" w:lineRule="exact"/>
              <w:jc w:val="center"/>
              <w:rPr>
                <w:rFonts w:ascii="仿宋_GB2312" w:hAnsi="仿宋_GB2312" w:cs="仿宋_GB2312"/>
                <w:sz w:val="24"/>
              </w:rPr>
            </w:pPr>
          </w:p>
        </w:tc>
      </w:tr>
    </w:tbl>
    <w:p>
      <w:pPr>
        <w:rPr>
          <w:rFonts w:ascii="仿宋_GB2312" w:hAnsi="仿宋_GB2312" w:cs="仿宋_GB2312"/>
          <w:sz w:val="24"/>
          <w:shd w:val="clear" w:color="auto" w:fill="FFFFFF"/>
        </w:rPr>
      </w:pPr>
      <w:r>
        <w:rPr>
          <w:rFonts w:hint="eastAsia" w:ascii="仿宋_GB2312" w:hAnsi="仿宋_GB2312" w:cs="仿宋_GB2312"/>
          <w:sz w:val="24"/>
          <w:shd w:val="clear" w:color="auto" w:fill="FFFFFF"/>
        </w:rPr>
        <w:br w:type="page"/>
      </w:r>
    </w:p>
    <w:p>
      <w:pPr>
        <w:spacing w:line="560" w:lineRule="exact"/>
        <w:rPr>
          <w:rFonts w:ascii="黑体" w:hAnsi="黑体" w:eastAsia="黑体"/>
        </w:rPr>
      </w:pPr>
      <w:r>
        <w:rPr>
          <w:rFonts w:hint="eastAsia" w:ascii="黑体" w:hAnsi="黑体" w:eastAsia="黑体"/>
        </w:rPr>
        <w:t>附件5</w:t>
      </w:r>
    </w:p>
    <w:p>
      <w:pPr>
        <w:pStyle w:val="7"/>
        <w:widowControl/>
        <w:spacing w:beforeAutospacing="0" w:afterAutospacing="0" w:line="600" w:lineRule="atLeast"/>
        <w:jc w:val="center"/>
        <w:rPr>
          <w:rFonts w:ascii="方正小标宋简体" w:hAnsi="方正小标宋简体" w:eastAsia="方正小标宋简体" w:cs="方正小标宋简体"/>
          <w:sz w:val="36"/>
          <w:szCs w:val="40"/>
        </w:rPr>
      </w:pPr>
      <w:r>
        <w:rPr>
          <w:rFonts w:hint="eastAsia" w:ascii="方正小标宋简体" w:hAnsi="方正小标宋简体" w:eastAsia="方正小标宋简体" w:cs="方正小标宋简体"/>
          <w:sz w:val="36"/>
          <w:szCs w:val="40"/>
        </w:rPr>
        <w:t>湖北省物业服务项目负责人信用信息评价表</w:t>
      </w:r>
    </w:p>
    <w:p>
      <w:pPr>
        <w:widowControl/>
        <w:spacing w:line="330" w:lineRule="exact"/>
        <w:textAlignment w:val="center"/>
        <w:rPr>
          <w:rFonts w:ascii="方正小标宋简体" w:hAnsi="方正小标宋简体" w:eastAsia="方正小标宋简体" w:cs="方正小标宋简体"/>
          <w:sz w:val="36"/>
          <w:szCs w:val="40"/>
        </w:rPr>
      </w:pPr>
      <w:r>
        <w:rPr>
          <w:rFonts w:hint="eastAsia" w:ascii="黑体" w:hAnsi="黑体" w:eastAsia="黑体" w:cs="黑体"/>
          <w:sz w:val="24"/>
        </w:rPr>
        <w:t>企业名称：                                                     填报时间：                  填报人：</w:t>
      </w:r>
    </w:p>
    <w:tbl>
      <w:tblPr>
        <w:tblStyle w:val="9"/>
        <w:tblW w:w="14718" w:type="dxa"/>
        <w:tblInd w:w="-2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44"/>
        <w:gridCol w:w="11274"/>
        <w:gridCol w:w="902"/>
        <w:gridCol w:w="952"/>
        <w:gridCol w:w="6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61" w:hRule="atLeast"/>
          <w:tblHeader/>
        </w:trPr>
        <w:tc>
          <w:tcPr>
            <w:tcW w:w="944"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项目</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类别</w:t>
            </w:r>
          </w:p>
        </w:tc>
        <w:tc>
          <w:tcPr>
            <w:tcW w:w="11274"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内容及评价标准</w:t>
            </w:r>
          </w:p>
        </w:tc>
        <w:tc>
          <w:tcPr>
            <w:tcW w:w="902"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有效</w:t>
            </w:r>
          </w:p>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期限</w:t>
            </w:r>
          </w:p>
        </w:tc>
        <w:tc>
          <w:tcPr>
            <w:tcW w:w="952"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最高</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加减分</w:t>
            </w:r>
          </w:p>
        </w:tc>
        <w:tc>
          <w:tcPr>
            <w:tcW w:w="646"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评价 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37" w:hRule="atLeast"/>
        </w:trPr>
        <w:tc>
          <w:tcPr>
            <w:tcW w:w="944"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1274" w:type="dxa"/>
            <w:vAlign w:val="center"/>
          </w:tcPr>
          <w:p>
            <w:pPr>
              <w:widowControl/>
              <w:jc w:val="left"/>
              <w:textAlignment w:val="center"/>
              <w:rPr>
                <w:rFonts w:ascii="仿宋_GB2312" w:hAnsi="仿宋_GB2312" w:cs="仿宋_GB2312"/>
                <w:kern w:val="0"/>
                <w:sz w:val="24"/>
                <w:lang w:bidi="ar"/>
              </w:rPr>
            </w:pPr>
            <w:r>
              <w:rPr>
                <w:rFonts w:hint="eastAsia" w:ascii="仿宋_GB2312" w:hAnsi="仿宋_GB2312" w:cs="仿宋_GB2312"/>
                <w:kern w:val="0"/>
                <w:sz w:val="24"/>
                <w:lang w:bidi="ar"/>
              </w:rPr>
              <w:t>项目负责人任项目所在地社区、小区党组织成员，在管项目被各级党委政府、物业行业主管部门列入党建教育基地或党建示范点的，每项次计3分。</w:t>
            </w:r>
          </w:p>
        </w:tc>
        <w:tc>
          <w:tcPr>
            <w:tcW w:w="902" w:type="dxa"/>
            <w:vAlign w:val="center"/>
          </w:tcPr>
          <w:p>
            <w:pPr>
              <w:jc w:val="center"/>
              <w:rPr>
                <w:rFonts w:ascii="仿宋_GB2312" w:hAnsi="仿宋_GB2312" w:cs="仿宋_GB2312"/>
                <w:sz w:val="24"/>
              </w:rPr>
            </w:pPr>
            <w:r>
              <w:rPr>
                <w:rFonts w:hint="eastAsia" w:ascii="仿宋_GB2312" w:hAnsi="仿宋_GB2312" w:cs="仿宋_GB2312"/>
                <w:sz w:val="24"/>
              </w:rPr>
              <w:t>1年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3</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18" w:hRule="atLeast"/>
        </w:trPr>
        <w:tc>
          <w:tcPr>
            <w:tcW w:w="944" w:type="dxa"/>
            <w:vMerge w:val="continue"/>
            <w:vAlign w:val="center"/>
          </w:tcPr>
          <w:p>
            <w:pPr>
              <w:pStyle w:val="14"/>
              <w:snapToGrid w:val="0"/>
              <w:spacing w:line="330" w:lineRule="exact"/>
              <w:jc w:val="center"/>
              <w:textAlignment w:val="baseline"/>
              <w:rPr>
                <w:rFonts w:ascii="黑体" w:hAnsi="黑体" w:eastAsia="黑体" w:cs="黑体"/>
              </w:rPr>
            </w:pPr>
          </w:p>
        </w:tc>
        <w:tc>
          <w:tcPr>
            <w:tcW w:w="11274" w:type="dxa"/>
            <w:vAlign w:val="center"/>
          </w:tcPr>
          <w:p>
            <w:pPr>
              <w:widowControl/>
              <w:jc w:val="left"/>
              <w:textAlignment w:val="center"/>
              <w:rPr>
                <w:rFonts w:ascii="仿宋_GB2312" w:hAnsi="仿宋_GB2312" w:cs="仿宋_GB2312"/>
                <w:kern w:val="0"/>
                <w:sz w:val="24"/>
                <w:lang w:bidi="ar"/>
              </w:rPr>
            </w:pPr>
            <w:r>
              <w:rPr>
                <w:rFonts w:hint="eastAsia" w:ascii="仿宋_GB2312" w:hAnsi="仿宋_GB2312" w:cs="仿宋_GB2312"/>
                <w:kern w:val="0"/>
                <w:sz w:val="24"/>
                <w:lang w:bidi="ar"/>
              </w:rPr>
              <w:t>按照《物业管理师》国家职业标准要求，取得职业技能等级证书。取得一级/高级技师计3分，二级/技师计2分。每年参加继续教育，不低于20学时（其中公司以外专业培训不低于10学时）的计1分。</w:t>
            </w:r>
          </w:p>
        </w:tc>
        <w:tc>
          <w:tcPr>
            <w:tcW w:w="902" w:type="dxa"/>
            <w:vAlign w:val="center"/>
          </w:tcPr>
          <w:p>
            <w:pPr>
              <w:jc w:val="center"/>
              <w:rPr>
                <w:rFonts w:ascii="仿宋_GB2312" w:hAnsi="仿宋_GB2312" w:cs="仿宋_GB2312"/>
                <w:sz w:val="24"/>
              </w:rPr>
            </w:pPr>
            <w:r>
              <w:rPr>
                <w:rFonts w:hint="eastAsia" w:ascii="仿宋_GB2312" w:hAnsi="仿宋_GB2312" w:cs="仿宋_GB2312"/>
                <w:sz w:val="24"/>
              </w:rPr>
              <w:t>长期</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4</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34" w:hRule="atLeast"/>
        </w:trPr>
        <w:tc>
          <w:tcPr>
            <w:tcW w:w="944" w:type="dxa"/>
            <w:vMerge w:val="continue"/>
            <w:vAlign w:val="center"/>
          </w:tcPr>
          <w:p>
            <w:pPr>
              <w:pStyle w:val="14"/>
              <w:snapToGrid w:val="0"/>
              <w:spacing w:line="330" w:lineRule="exact"/>
              <w:jc w:val="center"/>
              <w:textAlignment w:val="baseline"/>
              <w:rPr>
                <w:rFonts w:ascii="黑体" w:hAnsi="黑体" w:eastAsia="黑体" w:cs="黑体"/>
              </w:rPr>
            </w:pPr>
          </w:p>
        </w:tc>
        <w:tc>
          <w:tcPr>
            <w:tcW w:w="11274"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参加物业服务有关的政策研讨、课题研究、标准研制等专业研究活动，经物业服务主管部门认定，每项次计2分。</w:t>
            </w:r>
          </w:p>
        </w:tc>
        <w:tc>
          <w:tcPr>
            <w:tcW w:w="902"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2年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4</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99"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公开出版5万字以上物业管理专著或者教材的，第一作者计3分、第二作者计2分。</w:t>
            </w:r>
          </w:p>
        </w:tc>
        <w:tc>
          <w:tcPr>
            <w:tcW w:w="902"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2年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3</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4"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vAlign w:val="center"/>
          </w:tcPr>
          <w:p>
            <w:pPr>
              <w:widowControl/>
              <w:textAlignment w:val="center"/>
              <w:rPr>
                <w:rFonts w:ascii="仿宋_GB2312" w:hAnsi="仿宋_GB2312" w:cs="仿宋_GB2312"/>
                <w:sz w:val="24"/>
              </w:rPr>
            </w:pPr>
            <w:r>
              <w:rPr>
                <w:rFonts w:hint="eastAsia" w:ascii="仿宋_GB2312" w:hAnsi="仿宋_GB2312" w:cs="仿宋_GB2312"/>
                <w:kern w:val="0"/>
                <w:sz w:val="24"/>
                <w:lang w:bidi="ar"/>
              </w:rPr>
              <w:t>在具有国内统一刊号（CN）或者国际刊号（ISSN）的期刊上发表物业管理专业论文的，第一作者计2分、第二作者计1分。</w:t>
            </w:r>
          </w:p>
        </w:tc>
        <w:tc>
          <w:tcPr>
            <w:tcW w:w="902"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2</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75"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积极参加行业协会活动，为行业发展建言献策、作出突出贡献，由行业协会推荐，报本级物业服务主管部门认定，每项次计1分。</w:t>
            </w:r>
          </w:p>
        </w:tc>
        <w:tc>
          <w:tcPr>
            <w:tcW w:w="902" w:type="dxa"/>
            <w:vAlign w:val="center"/>
          </w:tcPr>
          <w:p>
            <w:pPr>
              <w:widowControl/>
              <w:jc w:val="center"/>
              <w:textAlignment w:val="center"/>
              <w:rPr>
                <w:rFonts w:ascii="仿宋_GB2312" w:hAnsi="仿宋_GB2312" w:cs="仿宋_GB2312"/>
                <w:sz w:val="24"/>
              </w:rPr>
            </w:pPr>
            <w:r>
              <w:rPr>
                <w:rFonts w:hint="eastAsia" w:ascii="仿宋_GB2312" w:hAnsi="仿宋_GB2312" w:cs="仿宋_GB2312"/>
                <w:kern w:val="0"/>
                <w:sz w:val="24"/>
                <w:lang w:bidi="ar"/>
              </w:rPr>
              <w:t>1年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5</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96" w:hRule="atLeast"/>
        </w:trPr>
        <w:tc>
          <w:tcPr>
            <w:tcW w:w="944"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74" w:type="dxa"/>
            <w:vAlign w:val="center"/>
          </w:tcPr>
          <w:p>
            <w:pPr>
              <w:widowControl/>
              <w:textAlignment w:val="center"/>
              <w:rPr>
                <w:rFonts w:ascii="仿宋_GB2312" w:hAnsi="仿宋_GB2312" w:cs="仿宋_GB2312"/>
                <w:sz w:val="24"/>
              </w:rPr>
            </w:pPr>
            <w:r>
              <w:rPr>
                <w:rFonts w:hint="eastAsia" w:ascii="仿宋_GB2312" w:hAnsi="仿宋_GB2312" w:cs="仿宋_GB2312"/>
                <w:kern w:val="0"/>
                <w:sz w:val="24"/>
                <w:lang w:bidi="ar"/>
              </w:rPr>
              <w:t>接受街道社区党组织领导，积极融入基层社会治理，非常符合计2分，基本符合计1分。</w:t>
            </w:r>
          </w:p>
        </w:tc>
        <w:tc>
          <w:tcPr>
            <w:tcW w:w="902"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lang w:bidi="ar"/>
              </w:rPr>
              <w:t>1年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2</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61" w:hRule="atLeast"/>
        </w:trPr>
        <w:tc>
          <w:tcPr>
            <w:tcW w:w="944"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74" w:type="dxa"/>
            <w:vAlign w:val="center"/>
          </w:tcPr>
          <w:p>
            <w:pPr>
              <w:widowControl/>
              <w:textAlignment w:val="center"/>
              <w:rPr>
                <w:rFonts w:ascii="仿宋_GB2312" w:hAnsi="仿宋_GB2312" w:cs="仿宋_GB2312"/>
                <w:sz w:val="24"/>
              </w:rPr>
            </w:pPr>
            <w:r>
              <w:rPr>
                <w:rFonts w:hint="eastAsia" w:ascii="仿宋_GB2312" w:hAnsi="仿宋_GB2312" w:cs="仿宋_GB2312"/>
                <w:kern w:val="0"/>
                <w:sz w:val="24"/>
                <w:lang w:bidi="ar"/>
              </w:rPr>
              <w:t>积极配合街道社区调处物业服务纠纷，积极配合计2分，基本配合计1分。</w:t>
            </w:r>
          </w:p>
        </w:tc>
        <w:tc>
          <w:tcPr>
            <w:tcW w:w="902"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lang w:bidi="ar"/>
              </w:rPr>
              <w:t>1年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2</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20" w:hRule="atLeast"/>
        </w:trPr>
        <w:tc>
          <w:tcPr>
            <w:tcW w:w="944"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74" w:type="dxa"/>
            <w:vAlign w:val="center"/>
          </w:tcPr>
          <w:p>
            <w:pPr>
              <w:widowControl/>
              <w:textAlignment w:val="center"/>
              <w:rPr>
                <w:rFonts w:ascii="仿宋_GB2312" w:hAnsi="仿宋_GB2312" w:cs="仿宋_GB2312"/>
                <w:sz w:val="24"/>
              </w:rPr>
            </w:pPr>
            <w:r>
              <w:rPr>
                <w:rFonts w:hint="eastAsia" w:ascii="仿宋_GB2312" w:hAnsi="仿宋_GB2312" w:cs="仿宋_GB2312"/>
                <w:kern w:val="0"/>
                <w:sz w:val="24"/>
                <w:lang w:bidi="ar"/>
              </w:rPr>
              <w:t>积极配合街道社区开展精神文明创建，积极配合计2分，基本配合计1分。</w:t>
            </w:r>
          </w:p>
        </w:tc>
        <w:tc>
          <w:tcPr>
            <w:tcW w:w="902"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lang w:bidi="ar"/>
              </w:rPr>
              <w:t>1年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2</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99"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vAlign w:val="center"/>
          </w:tcPr>
          <w:p>
            <w:pPr>
              <w:widowControl/>
              <w:textAlignment w:val="center"/>
              <w:rPr>
                <w:rFonts w:ascii="仿宋_GB2312" w:hAnsi="仿宋_GB2312" w:cs="仿宋_GB2312"/>
                <w:sz w:val="24"/>
              </w:rPr>
            </w:pPr>
            <w:r>
              <w:rPr>
                <w:rFonts w:hint="eastAsia" w:ascii="仿宋_GB2312" w:hAnsi="仿宋_GB2312" w:cs="仿宋_GB2312"/>
                <w:kern w:val="0"/>
                <w:sz w:val="24"/>
                <w:lang w:bidi="ar"/>
              </w:rPr>
              <w:t>积极配合街道社区应急处置有关工作，积极配合计2分，基本配合计1分。</w:t>
            </w:r>
          </w:p>
        </w:tc>
        <w:tc>
          <w:tcPr>
            <w:tcW w:w="902" w:type="dxa"/>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lang w:bidi="ar"/>
              </w:rPr>
              <w:t>1年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2</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widowControl/>
              <w:spacing w:line="330" w:lineRule="exact"/>
              <w:jc w:val="center"/>
              <w:textAlignment w:val="center"/>
              <w:rPr>
                <w:rFonts w:ascii="仿宋_GB2312" w:hAnsi="仿宋_GB2312" w:cs="仿宋_GB2312"/>
                <w:b/>
                <w:bCs/>
                <w:sz w:val="24"/>
              </w:rPr>
            </w:pPr>
          </w:p>
        </w:tc>
        <w:tc>
          <w:tcPr>
            <w:tcW w:w="11274" w:type="dxa"/>
            <w:vAlign w:val="center"/>
          </w:tcPr>
          <w:p>
            <w:pPr>
              <w:widowControl/>
              <w:textAlignment w:val="center"/>
              <w:rPr>
                <w:rFonts w:ascii="仿宋_GB2312" w:hAnsi="仿宋_GB2312" w:cs="仿宋_GB2312"/>
                <w:kern w:val="0"/>
                <w:sz w:val="24"/>
                <w:lang w:bidi="ar"/>
              </w:rPr>
            </w:pPr>
            <w:r>
              <w:rPr>
                <w:rFonts w:hint="eastAsia" w:ascii="仿宋_GB2312" w:hAnsi="仿宋_GB2312" w:cs="仿宋_GB2312"/>
                <w:kern w:val="0"/>
                <w:sz w:val="24"/>
                <w:lang w:bidi="ar"/>
              </w:rPr>
              <w:t>在街道指导下开展业主满意度评价，物业服务综合满意率达95%、90%、85%、80%、75%，分别记5、4、3、2、1分。</w:t>
            </w:r>
          </w:p>
        </w:tc>
        <w:tc>
          <w:tcPr>
            <w:tcW w:w="902" w:type="dxa"/>
            <w:vAlign w:val="center"/>
          </w:tcPr>
          <w:p>
            <w:pPr>
              <w:widowControl/>
              <w:spacing w:line="330" w:lineRule="exact"/>
              <w:jc w:val="center"/>
              <w:textAlignment w:val="center"/>
              <w:rPr>
                <w:rFonts w:ascii="仿宋_GB2312" w:hAnsi="仿宋_GB2312" w:cs="仿宋_GB2312"/>
                <w:kern w:val="0"/>
                <w:sz w:val="24"/>
                <w:lang w:bidi="ar"/>
              </w:rPr>
            </w:pPr>
            <w:r>
              <w:rPr>
                <w:rFonts w:hint="eastAsia" w:ascii="仿宋_GB2312" w:hAnsi="仿宋_GB2312" w:cs="仿宋_GB2312"/>
                <w:kern w:val="0"/>
                <w:sz w:val="24"/>
                <w:lang w:bidi="ar"/>
              </w:rPr>
              <w:t>1年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5</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1274"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本人或者所服务项目因实施物业服务活动获得党委、政府表扬表彰。以正式文件为准。省级及以上计5分，设区市级计4分，县级计3分，街道（乡、镇）级计2分。</w:t>
            </w:r>
          </w:p>
        </w:tc>
        <w:tc>
          <w:tcPr>
            <w:tcW w:w="902" w:type="dxa"/>
            <w:vMerge w:val="restart"/>
            <w:vAlign w:val="center"/>
          </w:tcPr>
          <w:p>
            <w:pPr>
              <w:widowControl/>
              <w:spacing w:line="330" w:lineRule="exact"/>
              <w:jc w:val="center"/>
              <w:textAlignment w:val="center"/>
              <w:rPr>
                <w:rFonts w:ascii="仿宋_GB2312" w:hAnsi="仿宋_GB2312" w:cs="仿宋_GB2312"/>
                <w:kern w:val="0"/>
                <w:sz w:val="24"/>
              </w:rPr>
            </w:pPr>
            <w:r>
              <w:rPr>
                <w:rFonts w:hint="eastAsia" w:ascii="仿宋_GB2312" w:hAnsi="仿宋_GB2312" w:cs="仿宋_GB2312"/>
                <w:kern w:val="0"/>
                <w:sz w:val="24"/>
              </w:rPr>
              <w:t>2年、2年、1年、1年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5</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74"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本人或者所服务项目因实施物业服务活动获得物业行业主管部门表扬表彰（含在管项目被</w:t>
            </w:r>
            <w:r>
              <w:rPr>
                <w:rFonts w:hint="eastAsia" w:ascii="仿宋_GB2312" w:hAnsi="仿宋_GB2312" w:cs="仿宋_GB2312"/>
                <w:kern w:val="0"/>
                <w:sz w:val="24"/>
              </w:rPr>
              <w:t>各级行政管理部门红黑榜评价中列入“红榜”名单</w:t>
            </w:r>
            <w:r>
              <w:rPr>
                <w:rFonts w:hint="eastAsia" w:ascii="仿宋_GB2312" w:hAnsi="仿宋_GB2312" w:cs="仿宋_GB2312"/>
                <w:kern w:val="0"/>
                <w:sz w:val="24"/>
                <w:lang w:bidi="ar"/>
              </w:rPr>
              <w:t>）。以正式文件为准。国家级计5分，省级计4分，设区市级计3分，县级计2分。</w:t>
            </w:r>
          </w:p>
        </w:tc>
        <w:tc>
          <w:tcPr>
            <w:tcW w:w="902" w:type="dxa"/>
            <w:vMerge w:val="continue"/>
            <w:vAlign w:val="center"/>
          </w:tcPr>
          <w:p>
            <w:pPr>
              <w:widowControl/>
              <w:spacing w:line="330" w:lineRule="exact"/>
              <w:jc w:val="center"/>
              <w:textAlignment w:val="center"/>
              <w:rPr>
                <w:rFonts w:ascii="仿宋_GB2312" w:hAnsi="仿宋_GB2312" w:cs="仿宋_GB2312"/>
                <w:sz w:val="24"/>
              </w:rPr>
            </w:pP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5</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74"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本人或者所服务项目因实施物业服务活动获得主流新闻媒体、有关部门自媒体平台正面报道。国家级计4分，省级计3分，设区市级计2分，县级计1分。</w:t>
            </w:r>
          </w:p>
        </w:tc>
        <w:tc>
          <w:tcPr>
            <w:tcW w:w="902" w:type="dxa"/>
            <w:vMerge w:val="restart"/>
            <w:vAlign w:val="center"/>
          </w:tcPr>
          <w:p>
            <w:pPr>
              <w:widowControl/>
              <w:jc w:val="left"/>
              <w:rPr>
                <w:rFonts w:ascii="仿宋_GB2312" w:hAnsi="仿宋_GB2312" w:cs="仿宋_GB2312"/>
                <w:sz w:val="24"/>
              </w:rPr>
            </w:pPr>
            <w:r>
              <w:rPr>
                <w:rFonts w:hint="eastAsia" w:ascii="仿宋_GB2312" w:hAnsi="仿宋_GB2312" w:cs="仿宋_GB2312"/>
                <w:kern w:val="0"/>
                <w:sz w:val="24"/>
              </w:rPr>
              <w:t>2年、2年、1年、1年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4</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vAlign w:val="center"/>
          </w:tcPr>
          <w:p>
            <w:pPr>
              <w:widowControl/>
              <w:jc w:val="left"/>
              <w:textAlignment w:val="center"/>
              <w:rPr>
                <w:rFonts w:ascii="仿宋_GB2312" w:hAnsi="仿宋_GB2312" w:cs="仿宋_GB2312"/>
                <w:kern w:val="0"/>
                <w:sz w:val="24"/>
                <w:lang w:bidi="ar"/>
              </w:rPr>
            </w:pPr>
            <w:r>
              <w:rPr>
                <w:rFonts w:hint="eastAsia" w:ascii="仿宋_GB2312" w:hAnsi="仿宋_GB2312" w:cs="仿宋_GB2312"/>
                <w:kern w:val="0"/>
                <w:sz w:val="24"/>
                <w:lang w:bidi="ar"/>
              </w:rPr>
              <w:t>在管项目物业服务具有典型示范性，得到市级以上党委政府、物业行业主管部门认定的。以正式文件为准。国家级计4分，省级计3分，设区市级计2分，县级计1分。</w:t>
            </w:r>
          </w:p>
        </w:tc>
        <w:tc>
          <w:tcPr>
            <w:tcW w:w="902" w:type="dxa"/>
            <w:vMerge w:val="continue"/>
            <w:vAlign w:val="center"/>
          </w:tcPr>
          <w:p>
            <w:pPr>
              <w:widowControl/>
              <w:spacing w:line="330" w:lineRule="exact"/>
              <w:jc w:val="center"/>
              <w:textAlignment w:val="center"/>
              <w:rPr>
                <w:rFonts w:ascii="仿宋_GB2312" w:hAnsi="仿宋_GB2312" w:cs="仿宋_GB2312"/>
                <w:sz w:val="24"/>
              </w:rPr>
            </w:pP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4</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5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本人或者所服务项目获得行业协会表扬表彰。以正式文件为准。国家级计4分，省级计3分，设区市级计2分，县级计1分。</w:t>
            </w:r>
          </w:p>
        </w:tc>
        <w:tc>
          <w:tcPr>
            <w:tcW w:w="90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1年</w:t>
            </w:r>
          </w:p>
        </w:tc>
        <w:tc>
          <w:tcPr>
            <w:tcW w:w="952" w:type="dxa"/>
            <w:vAlign w:val="center"/>
          </w:tcPr>
          <w:p>
            <w:pPr>
              <w:widowControl/>
              <w:spacing w:line="330" w:lineRule="exact"/>
              <w:jc w:val="center"/>
              <w:textAlignment w:val="center"/>
              <w:rPr>
                <w:rFonts w:ascii="仿宋_GB2312" w:hAnsi="仿宋_GB2312" w:cs="仿宋_GB2312"/>
                <w:sz w:val="24"/>
              </w:rPr>
            </w:pPr>
            <w:r>
              <w:rPr>
                <w:rFonts w:hint="eastAsia" w:ascii="仿宋_GB2312" w:hAnsi="仿宋_GB2312" w:cs="仿宋_GB2312"/>
                <w:sz w:val="24"/>
              </w:rPr>
              <w:t>4</w:t>
            </w:r>
          </w:p>
        </w:tc>
        <w:tc>
          <w:tcPr>
            <w:tcW w:w="646"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61"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b/>
                <w:bCs/>
                <w:kern w:val="0"/>
                <w:sz w:val="24"/>
                <w:lang w:bidi="ar"/>
              </w:rPr>
              <w:t>合计加分</w:t>
            </w:r>
          </w:p>
        </w:tc>
        <w:tc>
          <w:tcPr>
            <w:tcW w:w="2500" w:type="dxa"/>
            <w:gridSpan w:val="3"/>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91" w:hRule="atLeast"/>
        </w:trPr>
        <w:tc>
          <w:tcPr>
            <w:tcW w:w="944" w:type="dxa"/>
            <w:vMerge w:val="restart"/>
            <w:vAlign w:val="center"/>
          </w:tcPr>
          <w:p>
            <w:pPr>
              <w:pStyle w:val="14"/>
              <w:snapToGrid w:val="0"/>
              <w:spacing w:line="330" w:lineRule="exact"/>
              <w:jc w:val="center"/>
              <w:textAlignment w:val="baseline"/>
              <w:rPr>
                <w:rFonts w:ascii="仿宋_GB2312" w:hAnsi="仿宋_GB2312" w:cs="仿宋_GB2312"/>
                <w:b/>
                <w:bCs/>
              </w:rPr>
            </w:pPr>
            <w:r>
              <w:rPr>
                <w:rFonts w:hint="eastAsia" w:ascii="黑体" w:hAnsi="黑体" w:eastAsia="黑体" w:cs="黑体"/>
              </w:rPr>
              <w:t>不良信用信息</w:t>
            </w:r>
          </w:p>
        </w:tc>
        <w:tc>
          <w:tcPr>
            <w:tcW w:w="11274" w:type="dxa"/>
            <w:vAlign w:val="center"/>
          </w:tcPr>
          <w:p>
            <w:pPr>
              <w:widowControl/>
              <w:jc w:val="left"/>
              <w:textAlignment w:val="center"/>
              <w:rPr>
                <w:rFonts w:ascii="仿宋_GB2312" w:hAnsi="仿宋_GB2312" w:cs="仿宋_GB2312"/>
                <w:sz w:val="24"/>
              </w:rPr>
            </w:pPr>
            <w:r>
              <w:rPr>
                <w:rFonts w:hint="eastAsia" w:ascii="仿宋_GB2312" w:hAnsi="仿宋_GB2312" w:cs="仿宋_GB2312"/>
                <w:kern w:val="0"/>
                <w:sz w:val="24"/>
                <w:lang w:bidi="ar"/>
              </w:rPr>
              <w:t>与物业项目服务不良信用信息同等扣分、同等期限。</w:t>
            </w:r>
          </w:p>
        </w:tc>
        <w:tc>
          <w:tcPr>
            <w:tcW w:w="902" w:type="dxa"/>
            <w:vAlign w:val="center"/>
          </w:tcPr>
          <w:p>
            <w:pPr>
              <w:widowControl/>
              <w:jc w:val="center"/>
              <w:textAlignment w:val="center"/>
              <w:rPr>
                <w:rFonts w:ascii="仿宋_GB2312" w:hAnsi="仿宋_GB2312" w:cs="仿宋_GB2312"/>
                <w:sz w:val="24"/>
              </w:rPr>
            </w:pPr>
          </w:p>
        </w:tc>
        <w:tc>
          <w:tcPr>
            <w:tcW w:w="952" w:type="dxa"/>
            <w:vAlign w:val="center"/>
          </w:tcPr>
          <w:p>
            <w:pPr>
              <w:widowControl/>
              <w:spacing w:line="330" w:lineRule="exact"/>
              <w:jc w:val="center"/>
              <w:textAlignment w:val="center"/>
              <w:rPr>
                <w:rFonts w:ascii="仿宋_GB2312" w:hAnsi="仿宋_GB2312" w:cs="仿宋_GB2312"/>
                <w:sz w:val="24"/>
              </w:rPr>
            </w:pPr>
          </w:p>
        </w:tc>
        <w:tc>
          <w:tcPr>
            <w:tcW w:w="646"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42"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vAlign w:val="center"/>
          </w:tcPr>
          <w:p>
            <w:pPr>
              <w:widowControl/>
              <w:jc w:val="left"/>
              <w:textAlignment w:val="center"/>
              <w:rPr>
                <w:rFonts w:ascii="仿宋_GB2312" w:hAnsi="仿宋_GB2312" w:cs="仿宋_GB2312"/>
                <w:kern w:val="0"/>
                <w:sz w:val="24"/>
                <w:lang w:bidi="ar"/>
              </w:rPr>
            </w:pPr>
            <w:r>
              <w:rPr>
                <w:rFonts w:hint="eastAsia" w:ascii="仿宋_GB2312" w:hAnsi="仿宋_GB2312" w:cs="仿宋_GB2312"/>
                <w:sz w:val="24"/>
              </w:rPr>
              <w:t>项目负责人其他个人不良信用信息。</w:t>
            </w:r>
          </w:p>
        </w:tc>
        <w:tc>
          <w:tcPr>
            <w:tcW w:w="902" w:type="dxa"/>
            <w:vAlign w:val="center"/>
          </w:tcPr>
          <w:p>
            <w:pPr>
              <w:widowControl/>
              <w:jc w:val="center"/>
              <w:textAlignment w:val="center"/>
              <w:rPr>
                <w:rFonts w:ascii="仿宋_GB2312" w:hAnsi="仿宋_GB2312" w:cs="仿宋_GB2312"/>
                <w:kern w:val="0"/>
                <w:sz w:val="24"/>
                <w:lang w:bidi="ar"/>
              </w:rPr>
            </w:pPr>
            <w:r>
              <w:rPr>
                <w:rFonts w:hint="eastAsia" w:ascii="仿宋_GB2312" w:hAnsi="仿宋_GB2312" w:cs="仿宋_GB2312"/>
                <w:kern w:val="0"/>
                <w:sz w:val="24"/>
                <w:lang w:bidi="ar"/>
              </w:rPr>
              <w:t>1年</w:t>
            </w:r>
          </w:p>
        </w:tc>
        <w:tc>
          <w:tcPr>
            <w:tcW w:w="952" w:type="dxa"/>
            <w:vAlign w:val="center"/>
          </w:tcPr>
          <w:p>
            <w:pPr>
              <w:widowControl/>
              <w:spacing w:line="330" w:lineRule="exact"/>
              <w:jc w:val="center"/>
              <w:textAlignment w:val="center"/>
              <w:rPr>
                <w:rFonts w:ascii="仿宋_GB2312" w:hAnsi="仿宋_GB2312" w:cs="仿宋_GB2312"/>
                <w:sz w:val="24"/>
              </w:rPr>
            </w:pPr>
          </w:p>
        </w:tc>
        <w:tc>
          <w:tcPr>
            <w:tcW w:w="646"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42" w:hRule="atLeast"/>
        </w:trPr>
        <w:tc>
          <w:tcPr>
            <w:tcW w:w="944"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74" w:type="dxa"/>
            <w:vAlign w:val="center"/>
          </w:tcPr>
          <w:p>
            <w:pPr>
              <w:widowControl/>
              <w:jc w:val="center"/>
              <w:textAlignment w:val="center"/>
              <w:rPr>
                <w:rFonts w:ascii="仿宋_GB2312" w:hAnsi="仿宋_GB2312" w:cs="仿宋_GB2312"/>
                <w:sz w:val="24"/>
              </w:rPr>
            </w:pPr>
            <w:r>
              <w:rPr>
                <w:rFonts w:hint="eastAsia" w:ascii="仿宋_GB2312" w:hAnsi="仿宋_GB2312" w:cs="仿宋_GB2312"/>
                <w:b/>
                <w:bCs/>
                <w:sz w:val="24"/>
              </w:rPr>
              <w:t>合计扣分</w:t>
            </w:r>
          </w:p>
        </w:tc>
        <w:tc>
          <w:tcPr>
            <w:tcW w:w="2500" w:type="dxa"/>
            <w:gridSpan w:val="3"/>
            <w:vAlign w:val="center"/>
          </w:tcPr>
          <w:p>
            <w:pPr>
              <w:spacing w:line="330" w:lineRule="exact"/>
              <w:jc w:val="center"/>
              <w:rPr>
                <w:rFonts w:ascii="仿宋_GB2312" w:hAnsi="仿宋_GB2312" w:cs="仿宋_GB2312"/>
                <w:b/>
                <w:bCs/>
                <w:sz w:val="24"/>
              </w:rPr>
            </w:pPr>
          </w:p>
        </w:tc>
      </w:tr>
    </w:tbl>
    <w:p>
      <w:pPr>
        <w:pStyle w:val="7"/>
        <w:widowControl/>
        <w:spacing w:beforeAutospacing="0" w:afterAutospacing="0" w:line="600" w:lineRule="atLeast"/>
        <w:jc w:val="center"/>
        <w:rPr>
          <w:rFonts w:ascii="方正小标宋简体" w:hAnsi="方正小标宋简体" w:eastAsia="方正小标宋简体" w:cs="方正小标宋简体"/>
          <w:sz w:val="36"/>
          <w:szCs w:val="40"/>
        </w:rPr>
      </w:pPr>
    </w:p>
    <w:p>
      <w:pPr>
        <w:rPr>
          <w:rFonts w:ascii="黑体" w:hAnsi="黑体" w:eastAsia="黑体" w:cs="仿宋_GB2312"/>
          <w:sz w:val="28"/>
          <w:shd w:val="clear" w:color="auto" w:fill="FFFFFF"/>
        </w:rPr>
      </w:pPr>
      <w:r>
        <w:rPr>
          <w:rFonts w:hint="eastAsia" w:ascii="仿宋_GB2312" w:hAnsi="仿宋_GB2312" w:cs="仿宋_GB2312"/>
          <w:sz w:val="24"/>
          <w:shd w:val="clear" w:color="auto" w:fill="FFFFFF"/>
        </w:rPr>
        <w:br w:type="page"/>
      </w:r>
      <w:r>
        <w:rPr>
          <w:rFonts w:hint="eastAsia" w:ascii="黑体" w:hAnsi="黑体" w:eastAsia="黑体" w:cs="仿宋_GB2312"/>
          <w:sz w:val="28"/>
          <w:shd w:val="clear" w:color="auto" w:fill="FFFFFF"/>
        </w:rPr>
        <w:t>附件6</w:t>
      </w:r>
    </w:p>
    <w:p>
      <w:pPr>
        <w:jc w:val="center"/>
        <w:rPr>
          <w:rFonts w:ascii="方正小标宋简体" w:hAnsi="方正小标宋简体" w:eastAsia="方正小标宋简体" w:cs="方正小标宋简体"/>
          <w:sz w:val="36"/>
          <w:szCs w:val="44"/>
        </w:rPr>
      </w:pPr>
      <w:r>
        <w:rPr>
          <w:rFonts w:hint="eastAsia" w:ascii="方正小标宋简体" w:hAnsi="方正小标宋简体" w:eastAsia="方正小标宋简体" w:cs="方正小标宋简体"/>
          <w:sz w:val="36"/>
          <w:szCs w:val="44"/>
        </w:rPr>
        <w:t>湖北省房地产评估机构信用信息评价评分表</w:t>
      </w:r>
    </w:p>
    <w:p>
      <w:pPr>
        <w:widowControl/>
        <w:spacing w:line="330" w:lineRule="exact"/>
        <w:textAlignment w:val="center"/>
      </w:pPr>
      <w:r>
        <w:rPr>
          <w:rFonts w:hint="eastAsia" w:ascii="黑体" w:hAnsi="黑体" w:eastAsia="黑体" w:cs="黑体"/>
          <w:sz w:val="24"/>
        </w:rPr>
        <w:t>企业名称：                                                     填报时间：                  填报人：</w:t>
      </w:r>
    </w:p>
    <w:tbl>
      <w:tblPr>
        <w:tblStyle w:val="9"/>
        <w:tblW w:w="14777" w:type="dxa"/>
        <w:tblInd w:w="-2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47"/>
        <w:gridCol w:w="11408"/>
        <w:gridCol w:w="818"/>
        <w:gridCol w:w="956"/>
        <w:gridCol w:w="64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03" w:hRule="atLeast"/>
          <w:tblHeader/>
        </w:trPr>
        <w:tc>
          <w:tcPr>
            <w:tcW w:w="947"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项目</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类别</w:t>
            </w:r>
          </w:p>
        </w:tc>
        <w:tc>
          <w:tcPr>
            <w:tcW w:w="11408"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内容及评价标准</w:t>
            </w:r>
          </w:p>
        </w:tc>
        <w:tc>
          <w:tcPr>
            <w:tcW w:w="818"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有效</w:t>
            </w:r>
          </w:p>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期限</w:t>
            </w:r>
          </w:p>
        </w:tc>
        <w:tc>
          <w:tcPr>
            <w:tcW w:w="956"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最高</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加减分</w:t>
            </w:r>
          </w:p>
        </w:tc>
        <w:tc>
          <w:tcPr>
            <w:tcW w:w="648"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评价 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42" w:hRule="atLeast"/>
        </w:trPr>
        <w:tc>
          <w:tcPr>
            <w:tcW w:w="947"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上年度完成估价标的物建筑面积或土地面积</w:t>
            </w:r>
            <w:r>
              <w:rPr>
                <w:rFonts w:ascii="Calibri" w:hAnsi="Calibri" w:cs="Calibri"/>
                <w:sz w:val="24"/>
              </w:rPr>
              <w:t>/</w:t>
            </w:r>
            <w:r>
              <w:rPr>
                <w:rFonts w:hint="eastAsia" w:ascii="仿宋_GB2312" w:hAnsi="仿宋_GB2312" w:cs="仿宋_GB2312"/>
                <w:sz w:val="24"/>
              </w:rPr>
              <w:t>本级资质要求的建筑面积或土地面积，以实际评估业绩为参考，比值大于2的，得3分；小于2大于等于1.5的，得2分；小于1.5大于等于1的，得1分。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3</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41"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机构同时具有资产评估、土地估价、测绘、造价、投资咨询、规划等行业资质或备案证书，每项得1分。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trPr>
        <w:tc>
          <w:tcPr>
            <w:tcW w:w="94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积极组织本机构从业人员参加职业资格考试得5分，积极组织专职房地产注册估价师参加继续教育得5分。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6" w:hRule="atLeast"/>
        </w:trPr>
        <w:tc>
          <w:tcPr>
            <w:tcW w:w="94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有健全的估价合同管理、质量、财务、人员、档案管理制度，得5分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071"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机构或从业人员获得各级党政机关、群团组织书面表彰奖励的，按国家、省级、市、县级，每项分别得5、4、3、2分；获得行业协会书面表彰奖励的，按国家、省、市级，每项分别得4、3、2、1分。</w:t>
            </w:r>
          </w:p>
        </w:tc>
        <w:tc>
          <w:tcPr>
            <w:tcW w:w="81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2年、2年、1年、1年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9</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17" w:hRule="atLeast"/>
        </w:trPr>
        <w:tc>
          <w:tcPr>
            <w:tcW w:w="947" w:type="dxa"/>
            <w:vMerge w:val="continue"/>
            <w:vAlign w:val="center"/>
          </w:tcPr>
          <w:p>
            <w:pPr>
              <w:widowControl/>
              <w:spacing w:line="330" w:lineRule="exact"/>
              <w:jc w:val="center"/>
              <w:textAlignment w:val="center"/>
              <w:rPr>
                <w:rFonts w:ascii="仿宋_GB2312" w:hAnsi="仿宋_GB2312" w:cs="仿宋_GB2312"/>
                <w:b/>
                <w:bCs/>
                <w:sz w:val="24"/>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机构成立党的基层组织，发挥党建引领作用，促进机构健康发展的，得2分。法定代表人、执行合伙人积极参加行政主管部门、行业协会组织的论坛研讨、调研座谈会、专业技术评审等等活动的，每次得1分。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4"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纳税信用评为A级的，得2分；评为B级的，得1分。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70"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机构向主管部门提交促进和规范行业发展的意见、建议或课题报告并被采纳的，每项得1分。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6</w:t>
            </w:r>
          </w:p>
        </w:tc>
        <w:tc>
          <w:tcPr>
            <w:tcW w:w="648" w:type="dxa"/>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23"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能够提供上年度参加公益事项证明，每项得1分。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3"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jc w:val="center"/>
              <w:rPr>
                <w:rFonts w:ascii="仿宋_GB2312" w:hAnsi="仿宋_GB2312" w:cs="仿宋_GB2312"/>
                <w:sz w:val="24"/>
              </w:rPr>
            </w:pPr>
            <w:r>
              <w:rPr>
                <w:rFonts w:hint="eastAsia" w:ascii="仿宋_GB2312" w:hAnsi="仿宋_GB2312" w:cs="仿宋_GB2312"/>
                <w:b/>
                <w:bCs/>
                <w:sz w:val="24"/>
              </w:rPr>
              <w:t>合计加分</w:t>
            </w:r>
          </w:p>
        </w:tc>
        <w:tc>
          <w:tcPr>
            <w:tcW w:w="2422" w:type="dxa"/>
            <w:gridSpan w:val="3"/>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16" w:hRule="atLeast"/>
        </w:trPr>
        <w:tc>
          <w:tcPr>
            <w:tcW w:w="947" w:type="dxa"/>
            <w:vMerge w:val="restart"/>
            <w:vAlign w:val="center"/>
          </w:tcPr>
          <w:p>
            <w:pPr>
              <w:pStyle w:val="14"/>
              <w:snapToGrid w:val="0"/>
              <w:spacing w:line="330" w:lineRule="exact"/>
              <w:jc w:val="center"/>
              <w:textAlignment w:val="baseline"/>
              <w:rPr>
                <w:rFonts w:ascii="仿宋_GB2312" w:hAnsi="仿宋_GB2312" w:cs="仿宋_GB2312"/>
                <w:b/>
                <w:bCs/>
              </w:rPr>
            </w:pPr>
            <w:r>
              <w:rPr>
                <w:rFonts w:hint="eastAsia" w:ascii="黑体" w:hAnsi="黑体" w:eastAsia="黑体" w:cs="黑体"/>
              </w:rPr>
              <w:t>不良信用信息</w:t>
            </w: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擅自设立分支机构，每次扣5分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48"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86" w:hRule="atLeast"/>
        </w:trPr>
        <w:tc>
          <w:tcPr>
            <w:tcW w:w="947" w:type="dxa"/>
            <w:vMerge w:val="continue"/>
            <w:vAlign w:val="center"/>
          </w:tcPr>
          <w:p>
            <w:pPr>
              <w:widowControl/>
              <w:spacing w:line="330" w:lineRule="exact"/>
              <w:jc w:val="center"/>
              <w:textAlignment w:val="center"/>
              <w:rPr>
                <w:rFonts w:ascii="仿宋_GB2312" w:hAnsi="仿宋_GB2312" w:cs="仿宋_GB2312"/>
                <w:b/>
                <w:bCs/>
                <w:sz w:val="24"/>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新设立分支机构，自领取分支机构营业执照之日起</w:t>
            </w:r>
            <w:r>
              <w:rPr>
                <w:rFonts w:ascii="仿宋_GB2312" w:hAnsi="仿宋_GB2312" w:cs="仿宋_GB2312"/>
                <w:sz w:val="24"/>
              </w:rPr>
              <w:t>30</w:t>
            </w:r>
            <w:r>
              <w:rPr>
                <w:rFonts w:hint="eastAsia" w:ascii="仿宋_GB2312" w:hAnsi="仿宋_GB2312" w:cs="仿宋_GB2312"/>
                <w:sz w:val="24"/>
              </w:rPr>
              <w:t>日内不备案，每次扣2分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648"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63" w:hRule="atLeast"/>
        </w:trPr>
        <w:tc>
          <w:tcPr>
            <w:tcW w:w="947" w:type="dxa"/>
            <w:vMerge w:val="restart"/>
            <w:vAlign w:val="center"/>
          </w:tcPr>
          <w:p>
            <w:pPr>
              <w:widowControl/>
              <w:spacing w:line="330" w:lineRule="exact"/>
              <w:jc w:val="center"/>
              <w:textAlignment w:val="center"/>
              <w:rPr>
                <w:rFonts w:ascii="仿宋_GB2312" w:hAnsi="仿宋_GB2312" w:cs="仿宋_GB2312"/>
                <w:b/>
                <w:bCs/>
                <w:sz w:val="24"/>
              </w:rPr>
            </w:pPr>
            <w:r>
              <w:rPr>
                <w:rFonts w:hint="eastAsia" w:ascii="黑体" w:hAnsi="黑体" w:eastAsia="黑体" w:cs="黑体"/>
                <w:kern w:val="0"/>
                <w:sz w:val="24"/>
              </w:rPr>
              <w:t>不良信用信息</w:t>
            </w: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超越资质等级业务范围承接房地产估价业务；每次扣5分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68" w:hRule="atLeast"/>
        </w:trPr>
        <w:tc>
          <w:tcPr>
            <w:tcW w:w="947" w:type="dxa"/>
            <w:vMerge w:val="continue"/>
            <w:vAlign w:val="center"/>
          </w:tcPr>
          <w:p>
            <w:pPr>
              <w:widowControl/>
              <w:spacing w:line="330" w:lineRule="exact"/>
              <w:jc w:val="center"/>
              <w:textAlignment w:val="center"/>
              <w:rPr>
                <w:rFonts w:ascii="仿宋_GB2312" w:hAnsi="仿宋_GB2312" w:cs="仿宋_GB2312"/>
                <w:b/>
                <w:bCs/>
                <w:sz w:val="24"/>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未取得房地产估价机构资质承揽估价业务，每次扣5分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68"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估价师以个人名义承揽估价业务，每次扣3分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17"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ascii="仿宋_GB2312" w:hAnsi="仿宋_GB2312" w:cs="仿宋_GB2312"/>
                <w:sz w:val="24"/>
              </w:rPr>
              <w:t>房地产估价机构及执行房地产估价业务的估价人员与委托人或者估价业务相对人有利害关系的，应当回避</w:t>
            </w:r>
            <w:r>
              <w:rPr>
                <w:rFonts w:hint="eastAsia" w:ascii="仿宋_GB2312" w:hAnsi="仿宋_GB2312" w:cs="仿宋_GB2312"/>
                <w:sz w:val="24"/>
              </w:rPr>
              <w:t>没有回避的</w:t>
            </w:r>
            <w:r>
              <w:rPr>
                <w:rFonts w:ascii="仿宋_GB2312" w:hAnsi="仿宋_GB2312" w:cs="仿宋_GB2312"/>
                <w:sz w:val="24"/>
              </w:rPr>
              <w:t>。</w:t>
            </w:r>
            <w:r>
              <w:rPr>
                <w:rFonts w:hint="eastAsia" w:ascii="仿宋_GB2312" w:hAnsi="仿宋_GB2312" w:cs="仿宋_GB2312"/>
                <w:sz w:val="24"/>
              </w:rPr>
              <w:t>每次扣3分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86"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违反房地产估价规范和标准；每次扣5分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17"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不以房地产估价机构名义并加盖房地产估价机构公章，少于2名专职注册房地产估价师签字出具房地产估价报告。每次扣5分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15</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63"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涂改、倒卖、出租、出借或者以其他形式非法转让备案证书；每次扣10分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35"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以迎合高估或者低估要求、给予回扣、恶意压低收费等方式进行不正当竞争；每次扣10分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63" w:hRule="atLeast"/>
        </w:trPr>
        <w:tc>
          <w:tcPr>
            <w:tcW w:w="94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出具有虚假记载、误导性陈述或者重大遗漏的估价报告；每次扣10分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63"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未经委托人书面同意，擅自转让受托的估价业务；每次扣10分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03"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法律、法规禁止的其他行为。根据实际参考上述情况扣分</w:t>
            </w:r>
          </w:p>
        </w:tc>
        <w:tc>
          <w:tcPr>
            <w:tcW w:w="818"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03"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房地产评估机构备案延续、专项检查时采用全国统一的评审标准对抽检的估价报告进行评分，评定结果为不及格的。每次扣5分。</w:t>
            </w:r>
          </w:p>
        </w:tc>
        <w:tc>
          <w:tcPr>
            <w:tcW w:w="818" w:type="dxa"/>
            <w:vAlign w:val="center"/>
          </w:tcPr>
          <w:p>
            <w:pPr>
              <w:spacing w:line="400" w:lineRule="exact"/>
              <w:jc w:val="center"/>
              <w:rPr>
                <w:rFonts w:ascii="仿宋_GB2312" w:hAnsi="仿宋_GB2312" w:cs="仿宋_GB2312"/>
                <w:kern w:val="0"/>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03"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rPr>
                <w:rFonts w:ascii="仿宋_GB2312" w:hAnsi="仿宋_GB2312" w:cs="仿宋_GB2312"/>
                <w:sz w:val="24"/>
              </w:rPr>
            </w:pPr>
            <w:r>
              <w:rPr>
                <w:rFonts w:hint="eastAsia" w:ascii="仿宋_GB2312" w:hAnsi="仿宋_GB2312" w:cs="仿宋_GB2312"/>
                <w:sz w:val="24"/>
              </w:rPr>
              <w:t>估价机构及其分支机构受行政处罚、受行业自律惩戒或因估价行为造成不良社会影响的。每次扣5分。</w:t>
            </w:r>
          </w:p>
        </w:tc>
        <w:tc>
          <w:tcPr>
            <w:tcW w:w="818" w:type="dxa"/>
            <w:vAlign w:val="center"/>
          </w:tcPr>
          <w:p>
            <w:pPr>
              <w:spacing w:line="400" w:lineRule="exact"/>
              <w:jc w:val="center"/>
              <w:rPr>
                <w:rFonts w:ascii="仿宋_GB2312" w:hAnsi="仿宋_GB2312" w:cs="仿宋_GB2312"/>
                <w:kern w:val="0"/>
                <w:sz w:val="24"/>
              </w:rPr>
            </w:pPr>
            <w:r>
              <w:rPr>
                <w:rFonts w:hint="eastAsia" w:ascii="仿宋_GB2312" w:hAnsi="仿宋_GB2312" w:cs="仿宋_GB2312"/>
                <w:kern w:val="0"/>
                <w:sz w:val="24"/>
              </w:rPr>
              <w:t>1年</w:t>
            </w:r>
          </w:p>
        </w:tc>
        <w:tc>
          <w:tcPr>
            <w:tcW w:w="956"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64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38" w:hRule="atLeast"/>
        </w:trPr>
        <w:tc>
          <w:tcPr>
            <w:tcW w:w="94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408" w:type="dxa"/>
            <w:vAlign w:val="center"/>
          </w:tcPr>
          <w:p>
            <w:pPr>
              <w:spacing w:line="400" w:lineRule="exact"/>
              <w:jc w:val="center"/>
              <w:rPr>
                <w:rFonts w:ascii="仿宋_GB2312" w:hAnsi="仿宋_GB2312" w:cs="仿宋_GB2312"/>
                <w:sz w:val="24"/>
              </w:rPr>
            </w:pPr>
            <w:r>
              <w:rPr>
                <w:rFonts w:hint="eastAsia" w:ascii="仿宋_GB2312" w:hAnsi="仿宋_GB2312" w:cs="仿宋_GB2312"/>
                <w:b/>
                <w:bCs/>
                <w:sz w:val="24"/>
              </w:rPr>
              <w:t>合计扣分</w:t>
            </w:r>
          </w:p>
        </w:tc>
        <w:tc>
          <w:tcPr>
            <w:tcW w:w="2422" w:type="dxa"/>
            <w:gridSpan w:val="3"/>
            <w:vAlign w:val="center"/>
          </w:tcPr>
          <w:p>
            <w:pPr>
              <w:spacing w:line="330" w:lineRule="exact"/>
              <w:jc w:val="center"/>
              <w:rPr>
                <w:rFonts w:ascii="仿宋_GB2312" w:hAnsi="仿宋_GB2312" w:cs="仿宋_GB2312"/>
                <w:sz w:val="24"/>
              </w:rPr>
            </w:pPr>
          </w:p>
        </w:tc>
      </w:tr>
    </w:tbl>
    <w:p>
      <w:pPr>
        <w:rPr>
          <w:rFonts w:ascii="黑体" w:hAnsi="黑体" w:eastAsia="黑体"/>
        </w:rPr>
      </w:pPr>
      <w:r>
        <w:rPr>
          <w:rFonts w:hint="eastAsia" w:ascii="黑体" w:hAnsi="黑体" w:eastAsia="黑体"/>
        </w:rPr>
        <w:br w:type="page"/>
      </w:r>
    </w:p>
    <w:p>
      <w:pPr>
        <w:pStyle w:val="4"/>
        <w:spacing w:after="0" w:line="560" w:lineRule="exact"/>
        <w:rPr>
          <w:rFonts w:ascii="黑体" w:hAnsi="黑体" w:eastAsia="黑体" w:cs="仿宋_GB2312"/>
          <w:sz w:val="32"/>
          <w:szCs w:val="32"/>
        </w:rPr>
      </w:pPr>
      <w:r>
        <w:rPr>
          <w:rFonts w:hint="eastAsia" w:ascii="黑体" w:hAnsi="黑体" w:eastAsia="黑体" w:cs="仿宋_GB2312"/>
          <w:sz w:val="32"/>
          <w:szCs w:val="32"/>
        </w:rPr>
        <w:t>附件7</w:t>
      </w:r>
    </w:p>
    <w:p>
      <w:pPr>
        <w:jc w:val="center"/>
        <w:rPr>
          <w:rFonts w:ascii="方正小标宋简体" w:hAnsi="方正小标宋简体" w:eastAsia="方正小标宋简体" w:cs="方正小标宋简体"/>
          <w:sz w:val="36"/>
          <w:szCs w:val="44"/>
        </w:rPr>
      </w:pPr>
      <w:r>
        <w:rPr>
          <w:rFonts w:hint="eastAsia" w:ascii="方正小标宋简体" w:hAnsi="方正小标宋简体" w:eastAsia="方正小标宋简体" w:cs="方正小标宋简体"/>
          <w:sz w:val="36"/>
          <w:szCs w:val="44"/>
        </w:rPr>
        <w:t>湖北省房地产评估机构从业人员信用信息评价评分表</w:t>
      </w:r>
    </w:p>
    <w:p>
      <w:pPr>
        <w:widowControl/>
        <w:spacing w:line="330" w:lineRule="exact"/>
        <w:textAlignment w:val="center"/>
      </w:pPr>
      <w:r>
        <w:rPr>
          <w:rFonts w:hint="eastAsia" w:ascii="黑体" w:hAnsi="黑体" w:eastAsia="黑体" w:cs="黑体"/>
          <w:sz w:val="24"/>
        </w:rPr>
        <w:t>企业名称：                                                     填报时间：                  填报人：</w:t>
      </w:r>
    </w:p>
    <w:tbl>
      <w:tblPr>
        <w:tblStyle w:val="9"/>
        <w:tblW w:w="14618" w:type="dxa"/>
        <w:tblInd w:w="-2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35"/>
        <w:gridCol w:w="10965"/>
        <w:gridCol w:w="1245"/>
        <w:gridCol w:w="885"/>
        <w:gridCol w:w="5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89" w:hRule="atLeast"/>
          <w:tblHeader/>
        </w:trPr>
        <w:tc>
          <w:tcPr>
            <w:tcW w:w="935"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项目</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类别</w:t>
            </w:r>
          </w:p>
        </w:tc>
        <w:tc>
          <w:tcPr>
            <w:tcW w:w="10965"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内容及评价标准</w:t>
            </w:r>
          </w:p>
        </w:tc>
        <w:tc>
          <w:tcPr>
            <w:tcW w:w="1245"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有效</w:t>
            </w:r>
          </w:p>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期限</w:t>
            </w:r>
          </w:p>
        </w:tc>
        <w:tc>
          <w:tcPr>
            <w:tcW w:w="885"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最高</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加减分</w:t>
            </w:r>
          </w:p>
        </w:tc>
        <w:tc>
          <w:tcPr>
            <w:tcW w:w="588"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评价 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50" w:hRule="atLeast"/>
        </w:trPr>
        <w:tc>
          <w:tcPr>
            <w:tcW w:w="935"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持有专职注册房地产估价师资格证书的得2分。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65"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有资深估价师或行业专家证书的得</w:t>
            </w:r>
            <w:r>
              <w:rPr>
                <w:rFonts w:ascii="仿宋_GB2312" w:hAnsi="仿宋_GB2312" w:cs="仿宋_GB2312"/>
                <w:sz w:val="24"/>
              </w:rPr>
              <w:t>2分。</w:t>
            </w:r>
          </w:p>
        </w:tc>
        <w:tc>
          <w:tcPr>
            <w:tcW w:w="1245" w:type="dxa"/>
            <w:vAlign w:val="center"/>
          </w:tcPr>
          <w:p>
            <w:pPr>
              <w:spacing w:line="400" w:lineRule="exact"/>
              <w:jc w:val="center"/>
              <w:rPr>
                <w:rFonts w:ascii="仿宋_GB2312" w:hAnsi="仿宋_GB2312" w:cs="仿宋_GB2312"/>
                <w:kern w:val="0"/>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积极参加机构从业人员继续教育得1分。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717"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vAlign w:val="center"/>
          </w:tcPr>
          <w:p>
            <w:pPr>
              <w:spacing w:line="400" w:lineRule="exact"/>
              <w:rPr>
                <w:rFonts w:ascii="仿宋_GB2312" w:hAnsi="仿宋_GB2312" w:cs="仿宋_GB2312"/>
                <w:sz w:val="24"/>
              </w:rPr>
            </w:pPr>
            <w:r>
              <w:rPr>
                <w:rFonts w:hint="eastAsia" w:ascii="仿宋_GB2312" w:hAnsi="仿宋_GB2312" w:cs="仿宋_GB2312"/>
                <w:sz w:val="24"/>
              </w:rPr>
              <w:t>获得各级党政机关、部门书面表彰奖励的，按国家、省级、市、县级，每项分别得5、4、3、2分；获得行业协会书面表彰奖励的，按国家、省、市级，每项分别得4、3、2、1分。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sz w:val="22"/>
              </w:rPr>
              <w:t>2年、2年、1年、1年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9</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0965" w:type="dxa"/>
          </w:tcPr>
          <w:p>
            <w:pPr>
              <w:tabs>
                <w:tab w:val="left" w:pos="1365"/>
              </w:tabs>
              <w:spacing w:line="400" w:lineRule="exact"/>
              <w:rPr>
                <w:rFonts w:ascii="仿宋_GB2312" w:hAnsi="仿宋_GB2312" w:cs="仿宋_GB2312"/>
                <w:sz w:val="24"/>
              </w:rPr>
            </w:pPr>
            <w:r>
              <w:rPr>
                <w:rFonts w:hint="eastAsia" w:ascii="仿宋_GB2312" w:hAnsi="仿宋_GB2312" w:cs="仿宋_GB2312"/>
                <w:sz w:val="24"/>
              </w:rPr>
              <w:t>在国家级报刊发表研究成果、研究成果被主管部门或行业协会利用或采纳的，每次得5分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sz w:val="22"/>
              </w:rPr>
              <w:t>2年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为行业建设过程中提出合理化建议并被主管部门或行业协会采纳的，每条得2分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配合政府完成重大、特殊或紧急工作，获得政府好评的,每次得2分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8</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经业务主管部门确认应当记录的其他良好行为，每次得2分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8</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vAlign w:val="center"/>
          </w:tcPr>
          <w:p>
            <w:pPr>
              <w:spacing w:line="400" w:lineRule="exact"/>
              <w:jc w:val="center"/>
              <w:rPr>
                <w:rFonts w:ascii="仿宋_GB2312" w:hAnsi="仿宋_GB2312" w:cs="仿宋_GB2312"/>
                <w:sz w:val="24"/>
              </w:rPr>
            </w:pPr>
            <w:r>
              <w:rPr>
                <w:rFonts w:hint="eastAsia" w:ascii="仿宋_GB2312" w:hAnsi="仿宋_GB2312" w:cs="仿宋_GB2312"/>
                <w:b/>
                <w:bCs/>
                <w:sz w:val="24"/>
              </w:rPr>
              <w:t>合计加分</w:t>
            </w:r>
          </w:p>
        </w:tc>
        <w:tc>
          <w:tcPr>
            <w:tcW w:w="2718" w:type="dxa"/>
            <w:gridSpan w:val="3"/>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restart"/>
            <w:vAlign w:val="center"/>
          </w:tcPr>
          <w:p>
            <w:pPr>
              <w:pStyle w:val="14"/>
              <w:snapToGrid w:val="0"/>
              <w:spacing w:line="330" w:lineRule="exact"/>
              <w:jc w:val="center"/>
              <w:textAlignment w:val="baseline"/>
              <w:rPr>
                <w:rFonts w:ascii="仿宋_GB2312" w:hAnsi="仿宋_GB2312" w:cs="仿宋_GB2312"/>
                <w:b/>
                <w:bCs/>
              </w:rPr>
            </w:pPr>
            <w:r>
              <w:rPr>
                <w:rFonts w:hint="eastAsia" w:ascii="黑体" w:hAnsi="黑体" w:eastAsia="黑体" w:cs="黑体"/>
              </w:rPr>
              <w:t>不良信用信息</w:t>
            </w: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不按规定参加继续教育的，扣2分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588"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widowControl/>
              <w:spacing w:line="330" w:lineRule="exact"/>
              <w:jc w:val="center"/>
              <w:textAlignment w:val="center"/>
              <w:rPr>
                <w:rFonts w:ascii="仿宋_GB2312" w:hAnsi="仿宋_GB2312" w:cs="仿宋_GB2312"/>
                <w:b/>
                <w:bCs/>
                <w:sz w:val="24"/>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不配合行业主管部门监督检查工作，不提供检查所需资料的，每次扣2分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588"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未按规定对评估对象进行实地勘查的，每次扣2分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widowControl/>
              <w:spacing w:line="330" w:lineRule="exact"/>
              <w:jc w:val="center"/>
              <w:textAlignment w:val="center"/>
              <w:rPr>
                <w:rFonts w:ascii="仿宋_GB2312" w:hAnsi="仿宋_GB2312" w:cs="仿宋_GB2312"/>
                <w:b/>
                <w:bCs/>
                <w:sz w:val="24"/>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允许他人以自己的名义从事房地产估价业务的，每次扣5分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40" w:hRule="atLeast"/>
        </w:trPr>
        <w:tc>
          <w:tcPr>
            <w:tcW w:w="935"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未经注册，擅自以注册房地产估价师名义从事房地产估价活动的，每次扣5分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不良信用信息</w:t>
            </w: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超出所在机构业务范围从事评估活动的，每次扣1分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同时在两个或者两个以上评估机构执业的，每次扣2分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涂改、出租、出借或者以其他形式非法转让注册证书的，每次扣5分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发生投诉后不配合主管部门或行业协会调查取证的，每次扣1分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5</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签署有虚假记载、误导性陈述或者重大遗漏的评估报告的，每次扣2分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不保守执业中知悉的国家秘密和他人的商业、技术秘密的，每次扣5分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3年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冒用他人名义开展业务的，每次扣2分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与当事人有利害关系，未主动回避的，每次扣2分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以个人名义承揽房地产估价业务的，每次扣3分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采用欺骗、利诱、胁迫，或者贬损、诋毁其他评估专业人员等不正当手段招揽业务的，每次扣5分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vAlign w:val="center"/>
          </w:tcPr>
          <w:p>
            <w:pPr>
              <w:spacing w:line="400" w:lineRule="exact"/>
              <w:rPr>
                <w:rFonts w:ascii="仿宋_GB2312" w:hAnsi="仿宋_GB2312" w:cs="仿宋_GB2312"/>
                <w:sz w:val="24"/>
              </w:rPr>
            </w:pPr>
            <w:r>
              <w:rPr>
                <w:rFonts w:hint="eastAsia" w:ascii="仿宋_GB2312" w:hAnsi="仿宋_GB2312" w:cs="仿宋_GB2312"/>
                <w:sz w:val="24"/>
              </w:rPr>
              <w:t>在执业过程中，索贿、受贿或者谋取合同约定费用外的其他利益、实施商业贿赂的，每次扣10分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588" w:type="dxa"/>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以欺骗、贿赂等不正当手段取得注册证书的，每次扣10分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588" w:type="dxa"/>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因执行房地产评估业务的行为，被依法追究刑事责任的，每次扣10分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588" w:type="dxa"/>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935"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tcPr>
          <w:p>
            <w:pPr>
              <w:spacing w:line="400" w:lineRule="exact"/>
              <w:rPr>
                <w:rFonts w:ascii="仿宋_GB2312" w:hAnsi="仿宋_GB2312" w:cs="仿宋_GB2312"/>
                <w:sz w:val="24"/>
              </w:rPr>
            </w:pPr>
            <w:r>
              <w:rPr>
                <w:rFonts w:hint="eastAsia" w:ascii="仿宋_GB2312" w:hAnsi="仿宋_GB2312" w:cs="仿宋_GB2312"/>
                <w:sz w:val="24"/>
              </w:rPr>
              <w:t>因执行房地产评估业务的行为，受到行政处罚的，每次扣10分</w:t>
            </w:r>
          </w:p>
        </w:tc>
        <w:tc>
          <w:tcPr>
            <w:tcW w:w="1245" w:type="dxa"/>
            <w:vAlign w:val="center"/>
          </w:tcPr>
          <w:p>
            <w:pPr>
              <w:spacing w:line="400" w:lineRule="exact"/>
              <w:jc w:val="center"/>
              <w:rPr>
                <w:rFonts w:ascii="仿宋_GB2312" w:hAnsi="仿宋_GB2312" w:cs="仿宋_GB2312"/>
                <w:sz w:val="24"/>
              </w:rPr>
            </w:pPr>
            <w:r>
              <w:rPr>
                <w:rFonts w:hint="eastAsia" w:ascii="仿宋_GB2312" w:hAnsi="仿宋_GB2312" w:cs="仿宋_GB2312"/>
                <w:kern w:val="0"/>
                <w:sz w:val="24"/>
              </w:rPr>
              <w:t>2年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w:t>
            </w:r>
          </w:p>
        </w:tc>
        <w:tc>
          <w:tcPr>
            <w:tcW w:w="588" w:type="dxa"/>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21" w:hRule="atLeast"/>
        </w:trPr>
        <w:tc>
          <w:tcPr>
            <w:tcW w:w="935"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vAlign w:val="center"/>
          </w:tcPr>
          <w:p>
            <w:pPr>
              <w:spacing w:line="400" w:lineRule="exact"/>
              <w:rPr>
                <w:rFonts w:ascii="仿宋_GB2312" w:hAnsi="仿宋_GB2312" w:cs="仿宋_GB2312"/>
                <w:sz w:val="24"/>
              </w:rPr>
            </w:pPr>
            <w:r>
              <w:rPr>
                <w:rFonts w:hint="eastAsia" w:ascii="仿宋_GB2312" w:hAnsi="仿宋_GB2312" w:cs="仿宋_GB2312"/>
                <w:sz w:val="24"/>
              </w:rPr>
              <w:t>房地产评估机构备案延续、专项检查时采用全国统一的评审标准对抽检的估价报告进行评分，评定结果为不及格的。每次扣5分。</w:t>
            </w:r>
          </w:p>
        </w:tc>
        <w:tc>
          <w:tcPr>
            <w:tcW w:w="1245" w:type="dxa"/>
            <w:vAlign w:val="center"/>
          </w:tcPr>
          <w:p>
            <w:pPr>
              <w:spacing w:line="400" w:lineRule="exact"/>
              <w:jc w:val="center"/>
              <w:rPr>
                <w:rFonts w:ascii="仿宋_GB2312" w:hAnsi="仿宋_GB2312" w:cs="仿宋_GB2312"/>
                <w:kern w:val="0"/>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35" w:hRule="atLeast"/>
        </w:trPr>
        <w:tc>
          <w:tcPr>
            <w:tcW w:w="935"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vAlign w:val="center"/>
          </w:tcPr>
          <w:p>
            <w:pPr>
              <w:spacing w:line="400" w:lineRule="exact"/>
              <w:rPr>
                <w:rFonts w:ascii="仿宋_GB2312" w:hAnsi="仿宋_GB2312" w:cs="仿宋_GB2312"/>
                <w:sz w:val="24"/>
              </w:rPr>
            </w:pPr>
            <w:r>
              <w:rPr>
                <w:rFonts w:hint="eastAsia" w:ascii="仿宋_GB2312" w:hAnsi="仿宋_GB2312" w:cs="仿宋_GB2312"/>
                <w:sz w:val="24"/>
              </w:rPr>
              <w:t>估价机构及其分支机构受行政处罚、受行业自律惩戒或因估价行为造成不良社会影响的。每次扣5分。</w:t>
            </w:r>
          </w:p>
        </w:tc>
        <w:tc>
          <w:tcPr>
            <w:tcW w:w="1245" w:type="dxa"/>
            <w:vAlign w:val="center"/>
          </w:tcPr>
          <w:p>
            <w:pPr>
              <w:spacing w:line="400" w:lineRule="exact"/>
              <w:jc w:val="center"/>
              <w:rPr>
                <w:rFonts w:ascii="仿宋_GB2312" w:hAnsi="仿宋_GB2312" w:cs="仿宋_GB2312"/>
                <w:kern w:val="0"/>
                <w:sz w:val="24"/>
              </w:rPr>
            </w:pPr>
            <w:r>
              <w:rPr>
                <w:rFonts w:hint="eastAsia" w:ascii="仿宋_GB2312" w:hAnsi="仿宋_GB2312" w:cs="仿宋_GB2312"/>
                <w:kern w:val="0"/>
                <w:sz w:val="24"/>
              </w:rPr>
              <w:t>1年</w:t>
            </w:r>
          </w:p>
        </w:tc>
        <w:tc>
          <w:tcPr>
            <w:tcW w:w="88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10</w:t>
            </w:r>
          </w:p>
        </w:tc>
        <w:tc>
          <w:tcPr>
            <w:tcW w:w="588" w:type="dxa"/>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35" w:hRule="atLeast"/>
        </w:trPr>
        <w:tc>
          <w:tcPr>
            <w:tcW w:w="935" w:type="dxa"/>
            <w:vMerge w:val="continue"/>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0965" w:type="dxa"/>
            <w:vAlign w:val="center"/>
          </w:tcPr>
          <w:p>
            <w:pPr>
              <w:spacing w:line="400" w:lineRule="exact"/>
              <w:jc w:val="center"/>
              <w:rPr>
                <w:rFonts w:ascii="仿宋_GB2312" w:hAnsi="仿宋_GB2312" w:cs="仿宋_GB2312"/>
                <w:sz w:val="24"/>
              </w:rPr>
            </w:pPr>
            <w:r>
              <w:rPr>
                <w:rFonts w:hint="eastAsia" w:ascii="仿宋_GB2312" w:hAnsi="仿宋_GB2312" w:cs="仿宋_GB2312"/>
                <w:b/>
                <w:bCs/>
                <w:sz w:val="24"/>
              </w:rPr>
              <w:t>合计扣分</w:t>
            </w:r>
          </w:p>
        </w:tc>
        <w:tc>
          <w:tcPr>
            <w:tcW w:w="2718" w:type="dxa"/>
            <w:gridSpan w:val="3"/>
            <w:vAlign w:val="center"/>
          </w:tcPr>
          <w:p>
            <w:pPr>
              <w:spacing w:line="330" w:lineRule="exact"/>
              <w:jc w:val="center"/>
              <w:rPr>
                <w:rFonts w:ascii="仿宋_GB2312" w:hAnsi="仿宋_GB2312" w:cs="仿宋_GB2312"/>
                <w:sz w:val="24"/>
              </w:rPr>
            </w:pPr>
          </w:p>
        </w:tc>
      </w:tr>
    </w:tbl>
    <w:p>
      <w:pPr>
        <w:rPr>
          <w:rFonts w:ascii="黑体" w:hAnsi="黑体" w:eastAsia="黑体" w:cs="方正小标宋简体"/>
          <w:szCs w:val="44"/>
        </w:rPr>
      </w:pPr>
      <w:r>
        <w:rPr>
          <w:rFonts w:hint="eastAsia" w:ascii="黑体" w:hAnsi="黑体" w:eastAsia="黑体" w:cs="方正小标宋简体"/>
          <w:szCs w:val="44"/>
        </w:rPr>
        <w:br w:type="page"/>
      </w:r>
    </w:p>
    <w:p>
      <w:pPr>
        <w:rPr>
          <w:rFonts w:ascii="黑体" w:hAnsi="黑体" w:eastAsia="黑体" w:cs="方正小标宋简体"/>
          <w:szCs w:val="44"/>
        </w:rPr>
      </w:pPr>
      <w:r>
        <w:rPr>
          <w:rFonts w:hint="eastAsia" w:ascii="黑体" w:hAnsi="黑体" w:eastAsia="黑体" w:cs="方正小标宋简体"/>
          <w:szCs w:val="44"/>
        </w:rPr>
        <w:t>附件8</w:t>
      </w:r>
    </w:p>
    <w:p>
      <w:pPr>
        <w:jc w:val="center"/>
        <w:rPr>
          <w:rFonts w:ascii="方正小标宋简体" w:hAnsi="方正小标宋简体" w:eastAsia="方正小标宋简体" w:cs="方正小标宋简体"/>
          <w:sz w:val="36"/>
          <w:szCs w:val="40"/>
        </w:rPr>
      </w:pPr>
      <w:r>
        <w:rPr>
          <w:rFonts w:hint="eastAsia" w:ascii="方正小标宋简体" w:hAnsi="方正小标宋简体" w:eastAsia="方正小标宋简体" w:cs="方正小标宋简体"/>
          <w:sz w:val="36"/>
          <w:szCs w:val="40"/>
        </w:rPr>
        <w:t>湖北省征迁实施单位信用评价评分表</w:t>
      </w:r>
    </w:p>
    <w:p>
      <w:pPr>
        <w:widowControl/>
        <w:spacing w:line="330" w:lineRule="exact"/>
        <w:textAlignment w:val="center"/>
      </w:pPr>
      <w:r>
        <w:rPr>
          <w:rFonts w:hint="eastAsia" w:ascii="黑体" w:hAnsi="黑体" w:eastAsia="黑体" w:cs="黑体"/>
          <w:sz w:val="24"/>
        </w:rPr>
        <w:t>企业名称：                                                     填报时间：                  填报人：</w:t>
      </w:r>
    </w:p>
    <w:tbl>
      <w:tblPr>
        <w:tblStyle w:val="9"/>
        <w:tblW w:w="14618" w:type="dxa"/>
        <w:tblInd w:w="-2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30"/>
        <w:gridCol w:w="11230"/>
        <w:gridCol w:w="805"/>
        <w:gridCol w:w="1016"/>
        <w:gridCol w:w="6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90" w:hRule="atLeast"/>
          <w:tblHeader/>
        </w:trPr>
        <w:tc>
          <w:tcPr>
            <w:tcW w:w="930"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项目</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类别</w:t>
            </w:r>
          </w:p>
        </w:tc>
        <w:tc>
          <w:tcPr>
            <w:tcW w:w="11230"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内容及评价标准</w:t>
            </w:r>
          </w:p>
        </w:tc>
        <w:tc>
          <w:tcPr>
            <w:tcW w:w="805"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有效</w:t>
            </w:r>
          </w:p>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期限</w:t>
            </w:r>
          </w:p>
        </w:tc>
        <w:tc>
          <w:tcPr>
            <w:tcW w:w="1016"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最高</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加减分</w:t>
            </w:r>
          </w:p>
        </w:tc>
        <w:tc>
          <w:tcPr>
            <w:tcW w:w="637"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评价 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1230" w:type="dxa"/>
            <w:vAlign w:val="center"/>
          </w:tcPr>
          <w:p>
            <w:pPr>
              <w:spacing w:line="400" w:lineRule="exact"/>
              <w:rPr>
                <w:sz w:val="24"/>
              </w:rPr>
            </w:pPr>
            <w:r>
              <w:rPr>
                <w:rFonts w:hint="eastAsia" w:ascii="仿宋_GB2312" w:hAnsi="仿宋_GB2312" w:cs="仿宋_GB2312"/>
                <w:sz w:val="24"/>
                <w:shd w:val="clear" w:color="auto" w:fill="FFFFFF"/>
              </w:rPr>
              <w:t>组织征收工作人员定期开展专业学习或教育，并有学习记录，2分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2</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z w:val="24"/>
                <w:shd w:val="clear" w:color="auto" w:fill="FFFFFF"/>
              </w:rPr>
              <w:t>开展行风建设、廉洁自律及职业道德等教育，并有学习记录，2分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2</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58"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rFonts w:ascii="仿宋_GB2312" w:hAnsi="仿宋_GB2312" w:cs="仿宋_GB2312"/>
                <w:sz w:val="24"/>
                <w:shd w:val="clear" w:color="auto" w:fill="FFFFFF"/>
              </w:rPr>
            </w:pPr>
            <w:r>
              <w:rPr>
                <w:rFonts w:hint="eastAsia" w:ascii="仿宋_GB2312" w:hAnsi="仿宋_GB2312" w:cs="仿宋_GB2312"/>
                <w:sz w:val="24"/>
                <w:shd w:val="clear" w:color="auto" w:fill="FFFFFF"/>
              </w:rPr>
              <w:t>现场工作人员佩戴工作标识，1分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z w:val="24"/>
                <w:shd w:val="clear" w:color="auto" w:fill="FFFFFF"/>
              </w:rPr>
              <w:t>积极宣传政策，有谈话记录，2分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2</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z w:val="24"/>
                <w:shd w:val="clear" w:color="auto" w:fill="FFFFFF"/>
              </w:rPr>
              <w:t>政策宣传到位，印发征收须知、悬挂横幅标语、设置宣传栏，2分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2</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z w:val="24"/>
              </w:rPr>
              <w:t>实施单位按照与征迁项目工作专班签订的目标责任书约定的时间节点完成征迁任务，每次5分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z w:val="24"/>
              </w:rPr>
              <w:t>在合同约定的时间节点内提前一个月完成征迁任务，每次5分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z w:val="24"/>
              </w:rPr>
              <w:t>积极参与志愿服务、文明创建等活动，受到征迁部门认可；每次3分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5</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z w:val="24"/>
              </w:rPr>
              <w:t>依法文明征迁、群众认可度高，为服务对象排忧解难，受到服务对象表扬（信件、锦旗等）；每次3分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6</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z w:val="24"/>
              </w:rPr>
              <w:t>迎难而上、敢于攻坚，在项目拔钉扫尾工作中表现突出，受到征迁部门认可。每次5分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0"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rFonts w:ascii="仿宋_GB2312" w:hAnsi="仿宋_GB2312" w:cs="仿宋_GB2312"/>
                <w:sz w:val="24"/>
              </w:rPr>
            </w:pPr>
            <w:r>
              <w:rPr>
                <w:rFonts w:hint="eastAsia" w:ascii="仿宋_GB2312" w:hAnsi="仿宋_GB2312" w:cs="仿宋_GB2312"/>
                <w:sz w:val="24"/>
              </w:rPr>
              <w:t>纳税信用评为A级的，得2分；评为B级的，得1分。</w:t>
            </w:r>
          </w:p>
        </w:tc>
        <w:tc>
          <w:tcPr>
            <w:tcW w:w="805" w:type="dxa"/>
            <w:vAlign w:val="center"/>
          </w:tcPr>
          <w:p>
            <w:pPr>
              <w:spacing w:line="400" w:lineRule="exact"/>
              <w:jc w:val="center"/>
              <w:rPr>
                <w:rFonts w:ascii="仿宋_GB2312" w:hAnsi="仿宋_GB2312" w:cs="仿宋_GB2312"/>
                <w:kern w:val="0"/>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2</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jc w:val="center"/>
              <w:rPr>
                <w:rFonts w:ascii="仿宋_GB2312" w:hAnsi="仿宋_GB2312" w:cs="仿宋_GB2312"/>
                <w:sz w:val="24"/>
              </w:rPr>
            </w:pPr>
            <w:r>
              <w:rPr>
                <w:rFonts w:hint="eastAsia" w:ascii="仿宋_GB2312" w:hAnsi="仿宋_GB2312" w:cs="仿宋_GB2312"/>
                <w:b/>
                <w:bCs/>
                <w:sz w:val="24"/>
              </w:rPr>
              <w:t>合计加分</w:t>
            </w:r>
          </w:p>
        </w:tc>
        <w:tc>
          <w:tcPr>
            <w:tcW w:w="2458" w:type="dxa"/>
            <w:gridSpan w:val="3"/>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22" w:hRule="atLeast"/>
        </w:trPr>
        <w:tc>
          <w:tcPr>
            <w:tcW w:w="930" w:type="dxa"/>
            <w:vMerge w:val="restart"/>
            <w:vAlign w:val="center"/>
          </w:tcPr>
          <w:p>
            <w:pPr>
              <w:pStyle w:val="14"/>
              <w:snapToGrid w:val="0"/>
              <w:spacing w:line="330" w:lineRule="exact"/>
              <w:jc w:val="center"/>
              <w:textAlignment w:val="baseline"/>
              <w:rPr>
                <w:rFonts w:ascii="仿宋_GB2312" w:hAnsi="仿宋_GB2312" w:cs="仿宋_GB2312"/>
                <w:b/>
                <w:bCs/>
              </w:rPr>
            </w:pPr>
            <w:r>
              <w:rPr>
                <w:rFonts w:hint="eastAsia" w:ascii="黑体" w:hAnsi="黑体" w:eastAsia="黑体" w:cs="黑体"/>
              </w:rPr>
              <w:t>不良信用信息</w:t>
            </w:r>
          </w:p>
        </w:tc>
        <w:tc>
          <w:tcPr>
            <w:tcW w:w="11230" w:type="dxa"/>
            <w:vAlign w:val="center"/>
          </w:tcPr>
          <w:p>
            <w:pPr>
              <w:spacing w:line="400" w:lineRule="exact"/>
              <w:rPr>
                <w:sz w:val="24"/>
              </w:rPr>
            </w:pPr>
            <w:r>
              <w:rPr>
                <w:rFonts w:hint="eastAsia" w:ascii="仿宋_GB2312" w:hAnsi="仿宋_GB2312" w:cs="仿宋_GB2312"/>
                <w:sz w:val="24"/>
              </w:rPr>
              <w:t>在合同约定的时间节点内不能完成征迁任务；每次扣3分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37"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72" w:hRule="atLeast"/>
        </w:trPr>
        <w:tc>
          <w:tcPr>
            <w:tcW w:w="930" w:type="dxa"/>
            <w:vMerge w:val="continue"/>
            <w:vAlign w:val="center"/>
          </w:tcPr>
          <w:p>
            <w:pPr>
              <w:widowControl/>
              <w:spacing w:line="330" w:lineRule="exact"/>
              <w:jc w:val="center"/>
              <w:textAlignment w:val="center"/>
              <w:rPr>
                <w:rFonts w:ascii="仿宋_GB2312" w:hAnsi="仿宋_GB2312" w:cs="仿宋_GB2312"/>
                <w:b/>
                <w:bCs/>
                <w:sz w:val="24"/>
              </w:rPr>
            </w:pPr>
          </w:p>
        </w:tc>
        <w:tc>
          <w:tcPr>
            <w:tcW w:w="11230" w:type="dxa"/>
            <w:vAlign w:val="center"/>
          </w:tcPr>
          <w:p>
            <w:pPr>
              <w:spacing w:line="400" w:lineRule="exact"/>
              <w:rPr>
                <w:sz w:val="24"/>
              </w:rPr>
            </w:pPr>
            <w:r>
              <w:rPr>
                <w:rFonts w:hint="eastAsia" w:ascii="仿宋_GB2312" w:hAnsi="仿宋_GB2312" w:cs="仿宋_GB2312"/>
                <w:sz w:val="24"/>
              </w:rPr>
              <w:t>因征迁政策宣传解释不到位、工作态度差、工作方法不当，造成群众投诉两次及以上；扣3分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37"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z w:val="24"/>
              </w:rPr>
              <w:t>对征迁部门要求其处理的投诉问题，拒不处理或者处理不当，造成不良影响；扣3分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不良信用信息</w:t>
            </w:r>
          </w:p>
        </w:tc>
        <w:tc>
          <w:tcPr>
            <w:tcW w:w="11230" w:type="dxa"/>
            <w:vAlign w:val="center"/>
          </w:tcPr>
          <w:p>
            <w:pPr>
              <w:spacing w:line="400" w:lineRule="exact"/>
              <w:rPr>
                <w:sz w:val="24"/>
              </w:rPr>
            </w:pPr>
            <w:r>
              <w:rPr>
                <w:rFonts w:hint="eastAsia" w:ascii="仿宋_GB2312" w:hAnsi="仿宋_GB2312" w:cs="仿宋_GB2312"/>
                <w:sz w:val="24"/>
              </w:rPr>
              <w:t>无正当原因，拒不配合征迁部门检查；扣3分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30" w:type="dxa"/>
            <w:vAlign w:val="center"/>
          </w:tcPr>
          <w:p>
            <w:pPr>
              <w:pStyle w:val="7"/>
              <w:widowControl/>
              <w:shd w:val="clear" w:color="auto" w:fill="FFFFFF"/>
              <w:spacing w:beforeAutospacing="0" w:afterAutospacing="0" w:line="400" w:lineRule="exact"/>
              <w:jc w:val="both"/>
            </w:pPr>
            <w:r>
              <w:rPr>
                <w:rFonts w:hint="eastAsia" w:ascii="仿宋_GB2312" w:hAnsi="仿宋_GB2312" w:cs="仿宋_GB2312"/>
                <w:spacing w:val="8"/>
                <w:shd w:val="clear" w:color="auto" w:fill="FFFFFF"/>
              </w:rPr>
              <w:t>伪造、涂改、转让备案证书；扣5分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30" w:type="dxa"/>
            <w:vAlign w:val="center"/>
          </w:tcPr>
          <w:p>
            <w:pPr>
              <w:pStyle w:val="7"/>
              <w:widowControl/>
              <w:shd w:val="clear" w:color="auto" w:fill="FFFFFF"/>
              <w:spacing w:beforeAutospacing="0" w:afterAutospacing="0" w:line="400" w:lineRule="exact"/>
              <w:jc w:val="both"/>
            </w:pPr>
            <w:r>
              <w:rPr>
                <w:rFonts w:hint="eastAsia" w:ascii="仿宋_GB2312" w:hAnsi="仿宋_GB2312" w:cs="仿宋_GB2312"/>
                <w:spacing w:val="8"/>
                <w:shd w:val="clear" w:color="auto" w:fill="FFFFFF"/>
              </w:rPr>
              <w:t>转让或变相转让所承接的征收项目业务，或接受单位和个人挂靠承接征收项目业务；扣5分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230" w:type="dxa"/>
            <w:vAlign w:val="center"/>
          </w:tcPr>
          <w:p>
            <w:pPr>
              <w:pStyle w:val="7"/>
              <w:widowControl/>
              <w:shd w:val="clear" w:color="auto" w:fill="FFFFFF"/>
              <w:spacing w:beforeAutospacing="0" w:afterAutospacing="0" w:line="400" w:lineRule="exact"/>
              <w:jc w:val="both"/>
            </w:pPr>
            <w:r>
              <w:rPr>
                <w:rFonts w:hint="eastAsia" w:ascii="仿宋_GB2312" w:hAnsi="仿宋_GB2312" w:cs="仿宋_GB2312"/>
                <w:spacing w:val="8"/>
                <w:shd w:val="clear" w:color="auto" w:fill="FFFFFF"/>
              </w:rPr>
              <w:t>拆除未签订补偿协议的房屋及附属设施；扣5分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pStyle w:val="7"/>
              <w:widowControl/>
              <w:shd w:val="clear" w:color="auto" w:fill="FFFFFF"/>
              <w:spacing w:beforeAutospacing="0" w:afterAutospacing="0" w:line="400" w:lineRule="exact"/>
              <w:jc w:val="both"/>
            </w:pPr>
            <w:r>
              <w:rPr>
                <w:rFonts w:hint="eastAsia" w:ascii="仿宋_GB2312" w:hAnsi="仿宋_GB2312" w:cs="仿宋_GB2312"/>
                <w:spacing w:val="8"/>
                <w:shd w:val="clear" w:color="auto" w:fill="FFFFFF"/>
              </w:rPr>
              <w:t>对征收部门要求其依法处理的投诉，拒不处理或者拖延处理，未按要求反馈处理情况；扣5分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rFonts w:ascii="仿宋_GB2312" w:hAnsi="仿宋_GB2312" w:cs="仿宋_GB2312"/>
                <w:spacing w:val="8"/>
                <w:sz w:val="24"/>
                <w:shd w:val="clear" w:color="auto" w:fill="FFFFFF"/>
              </w:rPr>
            </w:pPr>
            <w:r>
              <w:rPr>
                <w:rFonts w:hint="eastAsia" w:ascii="仿宋_GB2312" w:hAnsi="仿宋_GB2312" w:cs="仿宋_GB2312"/>
                <w:kern w:val="0"/>
                <w:sz w:val="24"/>
                <w:lang w:bidi="ar"/>
              </w:rPr>
              <w:t>对发生一般安全事故负有主要责任的；扣20分</w:t>
            </w:r>
          </w:p>
        </w:tc>
        <w:tc>
          <w:tcPr>
            <w:tcW w:w="805" w:type="dxa"/>
            <w:vAlign w:val="center"/>
          </w:tcPr>
          <w:p>
            <w:pPr>
              <w:spacing w:line="400" w:lineRule="exact"/>
              <w:jc w:val="center"/>
              <w:rPr>
                <w:rFonts w:ascii="仿宋_GB2312" w:hAnsi="仿宋_GB2312" w:cs="仿宋_GB2312"/>
                <w:kern w:val="0"/>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20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pacing w:val="8"/>
                <w:sz w:val="24"/>
                <w:shd w:val="clear" w:color="auto" w:fill="FFFFFF"/>
              </w:rPr>
              <w:t>人民法院生效判决认定的其他征收补偿违法行为</w:t>
            </w:r>
            <w:r>
              <w:rPr>
                <w:rFonts w:hint="eastAsia" w:ascii="仿宋_GB2312" w:hAnsi="仿宋_GB2312" w:cs="仿宋_GB2312"/>
                <w:spacing w:val="8"/>
                <w:kern w:val="0"/>
                <w:sz w:val="24"/>
                <w:shd w:val="clear" w:color="auto" w:fill="FFFFFF"/>
              </w:rPr>
              <w:t>。扣10分</w:t>
            </w:r>
          </w:p>
        </w:tc>
        <w:tc>
          <w:tcPr>
            <w:tcW w:w="805" w:type="dxa"/>
            <w:vAlign w:val="center"/>
          </w:tcPr>
          <w:p>
            <w:pPr>
              <w:spacing w:line="400" w:lineRule="exact"/>
              <w:jc w:val="center"/>
              <w:rPr>
                <w:sz w:val="24"/>
              </w:rPr>
            </w:pPr>
            <w:r>
              <w:rPr>
                <w:rFonts w:hint="eastAsia" w:ascii="仿宋_GB2312" w:hAnsi="仿宋_GB2312" w:cs="仿宋_GB2312"/>
                <w:kern w:val="0"/>
                <w:sz w:val="24"/>
              </w:rPr>
              <w:t>1年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20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z w:val="24"/>
              </w:rPr>
              <w:t>超出征迁委托合同约定的权限行为，损害服务对象合法权益或公共利益的。每次扣10分</w:t>
            </w:r>
          </w:p>
        </w:tc>
        <w:tc>
          <w:tcPr>
            <w:tcW w:w="805" w:type="dxa"/>
            <w:vAlign w:val="center"/>
          </w:tcPr>
          <w:p>
            <w:pPr>
              <w:spacing w:line="400" w:lineRule="exact"/>
              <w:jc w:val="center"/>
              <w:rPr>
                <w:sz w:val="24"/>
              </w:rPr>
            </w:pPr>
            <w:r>
              <w:rPr>
                <w:rFonts w:hint="eastAsia" w:ascii="仿宋_GB2312" w:hAnsi="仿宋_GB2312" w:cs="仿宋_GB2312"/>
                <w:kern w:val="0"/>
                <w:sz w:val="24"/>
              </w:rPr>
              <w:t>2年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20</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rFonts w:ascii="仿宋_GB2312" w:hAnsi="仿宋_GB2312" w:cs="仿宋_GB2312"/>
                <w:sz w:val="24"/>
              </w:rPr>
            </w:pPr>
            <w:r>
              <w:rPr>
                <w:rFonts w:hint="eastAsia" w:ascii="仿宋_GB2312" w:hAnsi="仿宋_GB2312" w:cs="仿宋_GB2312"/>
                <w:sz w:val="24"/>
              </w:rPr>
              <w:t>收受或索取服务对象好处，伪造或者协助伪造虚假材料，骗取征迁补偿款的。</w:t>
            </w:r>
          </w:p>
        </w:tc>
        <w:tc>
          <w:tcPr>
            <w:tcW w:w="805" w:type="dxa"/>
            <w:vAlign w:val="center"/>
          </w:tcPr>
          <w:p>
            <w:pPr>
              <w:spacing w:line="400" w:lineRule="exact"/>
              <w:jc w:val="center"/>
              <w:rPr>
                <w:sz w:val="24"/>
              </w:rPr>
            </w:pPr>
            <w:r>
              <w:rPr>
                <w:rFonts w:hint="eastAsia" w:ascii="仿宋_GB2312" w:hAnsi="仿宋_GB2312" w:cs="仿宋_GB2312"/>
                <w:kern w:val="0"/>
                <w:sz w:val="24"/>
              </w:rPr>
              <w:t>2年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一票否决</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sz w:val="24"/>
              </w:rPr>
            </w:pPr>
            <w:r>
              <w:rPr>
                <w:rFonts w:hint="eastAsia" w:ascii="仿宋_GB2312" w:hAnsi="仿宋_GB2312" w:cs="仿宋_GB2312"/>
                <w:sz w:val="24"/>
              </w:rPr>
              <w:t>采取暴力、威胁或者违反规定停电、停水、停气等非法方式迫使服务对象搬迁，或工作人员因征迁违法违规行为被行政、刑事处罚的。</w:t>
            </w:r>
          </w:p>
        </w:tc>
        <w:tc>
          <w:tcPr>
            <w:tcW w:w="805" w:type="dxa"/>
            <w:vAlign w:val="center"/>
          </w:tcPr>
          <w:p>
            <w:pPr>
              <w:spacing w:line="400" w:lineRule="exact"/>
              <w:jc w:val="center"/>
              <w:rPr>
                <w:sz w:val="24"/>
              </w:rPr>
            </w:pPr>
            <w:r>
              <w:rPr>
                <w:rFonts w:hint="eastAsia" w:ascii="仿宋_GB2312" w:hAnsi="仿宋_GB2312" w:cs="仿宋_GB2312"/>
                <w:kern w:val="0"/>
                <w:sz w:val="24"/>
              </w:rPr>
              <w:t>2年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一票否决</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rFonts w:ascii="仿宋_GB2312" w:hAnsi="仿宋_GB2312" w:cs="仿宋_GB2312"/>
                <w:sz w:val="24"/>
              </w:rPr>
            </w:pPr>
            <w:r>
              <w:rPr>
                <w:rFonts w:hint="eastAsia" w:ascii="仿宋_GB2312" w:hAnsi="仿宋_GB2312" w:cs="仿宋_GB2312"/>
                <w:kern w:val="0"/>
                <w:sz w:val="24"/>
                <w:lang w:bidi="ar"/>
              </w:rPr>
              <w:t>对发生较大及以上安全事故负有主要责任的。</w:t>
            </w:r>
          </w:p>
        </w:tc>
        <w:tc>
          <w:tcPr>
            <w:tcW w:w="805" w:type="dxa"/>
            <w:vAlign w:val="center"/>
          </w:tcPr>
          <w:p>
            <w:pPr>
              <w:spacing w:line="400" w:lineRule="exact"/>
              <w:jc w:val="center"/>
              <w:rPr>
                <w:sz w:val="24"/>
              </w:rPr>
            </w:pPr>
            <w:r>
              <w:rPr>
                <w:rFonts w:hint="eastAsia" w:ascii="仿宋_GB2312" w:hAnsi="仿宋_GB2312" w:cs="仿宋_GB2312"/>
                <w:kern w:val="0"/>
                <w:sz w:val="24"/>
              </w:rPr>
              <w:t>2年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一票否决</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rPr>
                <w:rFonts w:ascii="仿宋_GB2312" w:hAnsi="仿宋_GB2312" w:cs="仿宋_GB2312"/>
                <w:sz w:val="24"/>
              </w:rPr>
            </w:pPr>
            <w:r>
              <w:rPr>
                <w:rFonts w:hint="eastAsia" w:ascii="仿宋_GB2312" w:hAnsi="仿宋_GB2312" w:cs="仿宋_GB2312"/>
                <w:sz w:val="24"/>
              </w:rPr>
              <w:t>因征迁实施单位工作失误原因发生群体性上访、围堵党政机关、堵塞城市道路等社会公共事件，造成严重不良影响的。</w:t>
            </w:r>
          </w:p>
        </w:tc>
        <w:tc>
          <w:tcPr>
            <w:tcW w:w="805" w:type="dxa"/>
            <w:vAlign w:val="center"/>
          </w:tcPr>
          <w:p>
            <w:pPr>
              <w:spacing w:line="400" w:lineRule="exact"/>
              <w:jc w:val="center"/>
              <w:rPr>
                <w:rFonts w:ascii="仿宋_GB2312" w:hAnsi="仿宋_GB2312" w:cs="仿宋_GB2312"/>
                <w:kern w:val="0"/>
                <w:sz w:val="24"/>
              </w:rPr>
            </w:pPr>
            <w:r>
              <w:rPr>
                <w:rFonts w:hint="eastAsia" w:ascii="仿宋_GB2312" w:hAnsi="仿宋_GB2312" w:cs="仿宋_GB2312"/>
                <w:kern w:val="0"/>
                <w:sz w:val="24"/>
              </w:rPr>
              <w:t>2年</w:t>
            </w:r>
          </w:p>
        </w:tc>
        <w:tc>
          <w:tcPr>
            <w:tcW w:w="1016"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一票否决</w:t>
            </w:r>
          </w:p>
        </w:tc>
        <w:tc>
          <w:tcPr>
            <w:tcW w:w="637"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930"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230" w:type="dxa"/>
            <w:vAlign w:val="center"/>
          </w:tcPr>
          <w:p>
            <w:pPr>
              <w:spacing w:line="400" w:lineRule="exact"/>
              <w:jc w:val="center"/>
              <w:rPr>
                <w:rFonts w:ascii="仿宋_GB2312" w:hAnsi="仿宋_GB2312" w:cs="仿宋_GB2312"/>
                <w:sz w:val="24"/>
              </w:rPr>
            </w:pPr>
            <w:r>
              <w:rPr>
                <w:rFonts w:hint="eastAsia" w:ascii="仿宋_GB2312" w:hAnsi="仿宋_GB2312" w:cs="仿宋_GB2312"/>
                <w:b/>
                <w:bCs/>
                <w:sz w:val="24"/>
              </w:rPr>
              <w:t>合计扣分</w:t>
            </w:r>
          </w:p>
        </w:tc>
        <w:tc>
          <w:tcPr>
            <w:tcW w:w="2458" w:type="dxa"/>
            <w:gridSpan w:val="3"/>
            <w:vAlign w:val="center"/>
          </w:tcPr>
          <w:p>
            <w:pPr>
              <w:spacing w:line="330" w:lineRule="exact"/>
              <w:jc w:val="center"/>
              <w:rPr>
                <w:rFonts w:ascii="仿宋_GB2312" w:hAnsi="仿宋_GB2312" w:cs="仿宋_GB2312"/>
                <w:sz w:val="24"/>
              </w:rPr>
            </w:pPr>
          </w:p>
        </w:tc>
      </w:tr>
    </w:tbl>
    <w:p>
      <w:r>
        <w:br w:type="page"/>
      </w:r>
    </w:p>
    <w:p>
      <w:pPr>
        <w:rPr>
          <w:rFonts w:ascii="黑体" w:hAnsi="黑体" w:eastAsia="黑体" w:cs="方正小标宋简体"/>
          <w:szCs w:val="44"/>
        </w:rPr>
      </w:pPr>
      <w:r>
        <w:rPr>
          <w:rFonts w:hint="eastAsia" w:ascii="黑体" w:hAnsi="黑体" w:eastAsia="黑体" w:cs="方正小标宋简体"/>
          <w:szCs w:val="44"/>
        </w:rPr>
        <w:t>附件9</w:t>
      </w:r>
    </w:p>
    <w:p>
      <w:pPr>
        <w:jc w:val="center"/>
        <w:rPr>
          <w:rFonts w:ascii="方正小标宋简体" w:hAnsi="方正小标宋简体" w:eastAsia="方正小标宋简体" w:cs="方正小标宋简体"/>
          <w:sz w:val="36"/>
          <w:szCs w:val="40"/>
        </w:rPr>
      </w:pPr>
      <w:r>
        <w:rPr>
          <w:rFonts w:hint="eastAsia" w:ascii="方正小标宋简体" w:hAnsi="方正小标宋简体" w:eastAsia="方正小标宋简体" w:cs="方正小标宋简体"/>
          <w:sz w:val="36"/>
          <w:szCs w:val="40"/>
        </w:rPr>
        <w:t>湖北省房屋安全鉴定机构信用评价评分表</w:t>
      </w:r>
    </w:p>
    <w:p>
      <w:pPr>
        <w:widowControl/>
        <w:spacing w:line="330" w:lineRule="exact"/>
        <w:textAlignment w:val="center"/>
      </w:pPr>
      <w:r>
        <w:rPr>
          <w:rFonts w:hint="eastAsia" w:ascii="黑体" w:hAnsi="黑体" w:eastAsia="黑体" w:cs="黑体"/>
          <w:sz w:val="24"/>
        </w:rPr>
        <w:t>企业名称：                                                     填报时间：                  填报人：</w:t>
      </w:r>
    </w:p>
    <w:tbl>
      <w:tblPr>
        <w:tblStyle w:val="9"/>
        <w:tblW w:w="14737" w:type="dxa"/>
        <w:tblInd w:w="-2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37"/>
        <w:gridCol w:w="11128"/>
        <w:gridCol w:w="1008"/>
        <w:gridCol w:w="1023"/>
        <w:gridCol w:w="6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35" w:hRule="atLeast"/>
          <w:tblHeader/>
        </w:trPr>
        <w:tc>
          <w:tcPr>
            <w:tcW w:w="937"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项目</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类别</w:t>
            </w:r>
          </w:p>
        </w:tc>
        <w:tc>
          <w:tcPr>
            <w:tcW w:w="11128"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内容及评价标准</w:t>
            </w:r>
          </w:p>
        </w:tc>
        <w:tc>
          <w:tcPr>
            <w:tcW w:w="1008"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有效</w:t>
            </w:r>
          </w:p>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期限</w:t>
            </w:r>
          </w:p>
        </w:tc>
        <w:tc>
          <w:tcPr>
            <w:tcW w:w="1023" w:type="dxa"/>
            <w:vAlign w:val="center"/>
          </w:tcPr>
          <w:p>
            <w:pPr>
              <w:widowControl/>
              <w:spacing w:line="330" w:lineRule="exact"/>
              <w:jc w:val="center"/>
              <w:textAlignment w:val="center"/>
              <w:rPr>
                <w:rFonts w:ascii="黑体" w:hAnsi="黑体" w:eastAsia="黑体" w:cs="黑体"/>
                <w:kern w:val="0"/>
                <w:sz w:val="24"/>
              </w:rPr>
            </w:pPr>
            <w:r>
              <w:rPr>
                <w:rFonts w:hint="eastAsia" w:ascii="黑体" w:hAnsi="黑体" w:eastAsia="黑体" w:cs="黑体"/>
                <w:kern w:val="0"/>
                <w:sz w:val="24"/>
              </w:rPr>
              <w:t>最高</w:t>
            </w:r>
          </w:p>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加减分</w:t>
            </w:r>
          </w:p>
        </w:tc>
        <w:tc>
          <w:tcPr>
            <w:tcW w:w="641" w:type="dxa"/>
            <w:vAlign w:val="center"/>
          </w:tcPr>
          <w:p>
            <w:pPr>
              <w:widowControl/>
              <w:spacing w:line="330" w:lineRule="exact"/>
              <w:jc w:val="center"/>
              <w:textAlignment w:val="center"/>
              <w:rPr>
                <w:rFonts w:ascii="黑体" w:hAnsi="黑体" w:eastAsia="黑体" w:cs="黑体"/>
                <w:sz w:val="24"/>
              </w:rPr>
            </w:pPr>
            <w:r>
              <w:rPr>
                <w:rFonts w:hint="eastAsia" w:ascii="黑体" w:hAnsi="黑体" w:eastAsia="黑体" w:cs="黑体"/>
                <w:kern w:val="0"/>
                <w:sz w:val="24"/>
              </w:rPr>
              <w:t>评价 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85" w:hRule="atLeast"/>
        </w:trPr>
        <w:tc>
          <w:tcPr>
            <w:tcW w:w="937"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良好</w:t>
            </w:r>
            <w:r>
              <w:rPr>
                <w:rFonts w:ascii="黑体" w:hAnsi="黑体" w:eastAsia="黑体" w:cs="黑体"/>
              </w:rPr>
              <w:t>信用信息</w:t>
            </w:r>
            <w:r>
              <w:rPr>
                <w:rFonts w:hint="eastAsia" w:ascii="黑体" w:hAnsi="黑体" w:eastAsia="黑体" w:cs="黑体"/>
              </w:rPr>
              <w:t>（50分）</w:t>
            </w:r>
          </w:p>
        </w:tc>
        <w:tc>
          <w:tcPr>
            <w:tcW w:w="11128" w:type="dxa"/>
            <w:vAlign w:val="center"/>
          </w:tcPr>
          <w:p>
            <w:pPr>
              <w:spacing w:line="400" w:lineRule="exact"/>
              <w:rPr>
                <w:sz w:val="24"/>
              </w:rPr>
            </w:pPr>
            <w:r>
              <w:rPr>
                <w:rFonts w:hint="eastAsia" w:ascii="仿宋_GB2312" w:hAnsi="仿宋_GB2312" w:cs="仿宋_GB2312"/>
                <w:sz w:val="24"/>
              </w:rPr>
              <w:t>机构或从业人员获得各级党政机关、部门书面表彰奖励的，按国家、省级、市、县级，每项分别得5、4、3、2分；获得行业协会书面表彰奖励的，按国家、省、市级，每项分别得4、3、2、1分。</w:t>
            </w:r>
          </w:p>
        </w:tc>
        <w:tc>
          <w:tcPr>
            <w:tcW w:w="1008" w:type="dxa"/>
            <w:vAlign w:val="center"/>
          </w:tcPr>
          <w:p>
            <w:pPr>
              <w:spacing w:line="400" w:lineRule="exact"/>
              <w:jc w:val="center"/>
              <w:rPr>
                <w:sz w:val="24"/>
              </w:rPr>
            </w:pPr>
            <w:r>
              <w:rPr>
                <w:rFonts w:hint="eastAsia" w:ascii="仿宋_GB2312" w:hAnsi="仿宋_GB2312" w:cs="仿宋_GB2312"/>
                <w:sz w:val="22"/>
              </w:rPr>
              <w:t>2年、2年、1年、1年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9</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50" w:hRule="atLeast"/>
        </w:trPr>
        <w:tc>
          <w:tcPr>
            <w:tcW w:w="93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应急抢险、救灾等方面有突出贡献；每次加5分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15</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65" w:hRule="atLeast"/>
        </w:trPr>
        <w:tc>
          <w:tcPr>
            <w:tcW w:w="93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技术负责人具备土木工程类高级职称或一级注册结构工程师资格，每人加1分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6</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93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积极参加行业及行政主管部门组织的技术性研讨及培训项目，每次加2分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10</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0" w:hRule="atLeast"/>
        </w:trPr>
        <w:tc>
          <w:tcPr>
            <w:tcW w:w="93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及时响应政府号召，参加公益服务，每次加1分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8</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70" w:hRule="atLeast"/>
        </w:trPr>
        <w:tc>
          <w:tcPr>
            <w:tcW w:w="93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纳税信用评为A级的，得2分；评为B级的，得1分。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2</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35" w:hRule="atLeast"/>
        </w:trPr>
        <w:tc>
          <w:tcPr>
            <w:tcW w:w="93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128" w:type="dxa"/>
            <w:vAlign w:val="center"/>
          </w:tcPr>
          <w:p>
            <w:pPr>
              <w:spacing w:line="400" w:lineRule="exact"/>
              <w:jc w:val="center"/>
              <w:rPr>
                <w:rFonts w:ascii="仿宋_GB2312" w:hAnsi="仿宋_GB2312" w:cs="仿宋_GB2312"/>
                <w:sz w:val="24"/>
              </w:rPr>
            </w:pPr>
            <w:r>
              <w:rPr>
                <w:rFonts w:hint="eastAsia" w:ascii="仿宋_GB2312" w:hAnsi="仿宋_GB2312" w:cs="仿宋_GB2312"/>
                <w:b/>
                <w:bCs/>
                <w:sz w:val="24"/>
              </w:rPr>
              <w:t>合计加分</w:t>
            </w:r>
          </w:p>
        </w:tc>
        <w:tc>
          <w:tcPr>
            <w:tcW w:w="2672" w:type="dxa"/>
            <w:gridSpan w:val="3"/>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78" w:hRule="atLeast"/>
        </w:trPr>
        <w:tc>
          <w:tcPr>
            <w:tcW w:w="937"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不良信用信息</w:t>
            </w: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申请加入名录时提供虚假材料。每次扣5分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15</w:t>
            </w:r>
          </w:p>
        </w:tc>
        <w:tc>
          <w:tcPr>
            <w:tcW w:w="641"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65" w:hRule="atLeast"/>
        </w:trPr>
        <w:tc>
          <w:tcPr>
            <w:tcW w:w="937" w:type="dxa"/>
            <w:vMerge w:val="continue"/>
            <w:vAlign w:val="center"/>
          </w:tcPr>
          <w:p>
            <w:pPr>
              <w:widowControl/>
              <w:spacing w:line="330" w:lineRule="exact"/>
              <w:jc w:val="center"/>
              <w:textAlignment w:val="center"/>
              <w:rPr>
                <w:rFonts w:ascii="仿宋_GB2312" w:hAnsi="仿宋_GB2312" w:cs="仿宋_GB2312"/>
                <w:b/>
                <w:bCs/>
                <w:sz w:val="24"/>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鉴定机构有停业、转业等变更事项时未及时报告。每次扣5分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15</w:t>
            </w:r>
          </w:p>
        </w:tc>
        <w:tc>
          <w:tcPr>
            <w:tcW w:w="641" w:type="dxa"/>
            <w:vAlign w:val="center"/>
          </w:tcPr>
          <w:p>
            <w:pPr>
              <w:spacing w:line="330" w:lineRule="exact"/>
              <w:jc w:val="center"/>
              <w:rPr>
                <w:rFonts w:ascii="仿宋_GB2312" w:hAnsi="仿宋_GB2312" w:cs="仿宋_GB2312"/>
                <w:b/>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85" w:hRule="atLeast"/>
        </w:trPr>
        <w:tc>
          <w:tcPr>
            <w:tcW w:w="93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未严格按行业规范和标准开展房屋安全鉴定、鉴定工作不符合规定要求。每次扣5分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15</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65" w:hRule="atLeast"/>
        </w:trPr>
        <w:tc>
          <w:tcPr>
            <w:tcW w:w="937" w:type="dxa"/>
            <w:vMerge w:val="continue"/>
            <w:vAlign w:val="center"/>
          </w:tcPr>
          <w:p>
            <w:pPr>
              <w:widowControl/>
              <w:spacing w:line="330" w:lineRule="exact"/>
              <w:jc w:val="center"/>
              <w:textAlignment w:val="center"/>
              <w:rPr>
                <w:rFonts w:ascii="仿宋_GB2312" w:hAnsi="仿宋_GB2312" w:cs="仿宋_GB2312"/>
                <w:b/>
                <w:bCs/>
                <w:sz w:val="24"/>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鉴定危险房屋未执行部颁《危险房屋鉴定标准》。每次扣5分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15</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61" w:hRule="atLeast"/>
        </w:trPr>
        <w:tc>
          <w:tcPr>
            <w:tcW w:w="937" w:type="dxa"/>
            <w:vMerge w:val="continue"/>
            <w:vAlign w:val="center"/>
          </w:tcPr>
          <w:p>
            <w:pPr>
              <w:pStyle w:val="14"/>
              <w:snapToGrid w:val="0"/>
              <w:spacing w:line="330" w:lineRule="exact"/>
              <w:jc w:val="center"/>
              <w:textAlignment w:val="baseline"/>
              <w:rPr>
                <w:rFonts w:ascii="仿宋_GB2312" w:hAnsi="仿宋_GB2312" w:eastAsia="仿宋_GB2312" w:cs="仿宋_GB2312"/>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鉴定文书未按规定审核签字盖章。每次扣5分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15</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17" w:hRule="atLeast"/>
        </w:trPr>
        <w:tc>
          <w:tcPr>
            <w:tcW w:w="93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经鉴定为危险房屋的，鉴定机构未及时发出危险房屋通知书。每次扣5分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15</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29" w:hRule="atLeast"/>
        </w:trPr>
        <w:tc>
          <w:tcPr>
            <w:tcW w:w="93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鉴定为非危险房屋的，未在鉴定书上注明在正常使用条件下的有效时限。每次扣5分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15</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85" w:hRule="atLeast"/>
        </w:trPr>
        <w:tc>
          <w:tcPr>
            <w:tcW w:w="937" w:type="dxa"/>
            <w:vMerge w:val="restart"/>
            <w:vAlign w:val="center"/>
          </w:tcPr>
          <w:p>
            <w:pPr>
              <w:pStyle w:val="14"/>
              <w:snapToGrid w:val="0"/>
              <w:spacing w:line="330" w:lineRule="exact"/>
              <w:jc w:val="center"/>
              <w:textAlignment w:val="baseline"/>
              <w:rPr>
                <w:rFonts w:ascii="仿宋_GB2312" w:hAnsi="仿宋_GB2312" w:eastAsia="仿宋_GB2312" w:cs="仿宋_GB2312"/>
              </w:rPr>
            </w:pPr>
            <w:r>
              <w:rPr>
                <w:rFonts w:hint="eastAsia" w:ascii="黑体" w:hAnsi="黑体" w:eastAsia="黑体" w:cs="黑体"/>
              </w:rPr>
              <w:t>不良信用信息</w:t>
            </w: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未按规定将鉴定报告报住建部门备案。每次扣5分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15</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20" w:hRule="atLeast"/>
        </w:trPr>
        <w:tc>
          <w:tcPr>
            <w:tcW w:w="93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未建立鉴定项目档案，原始资料无法追溯。每次扣5分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15</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90" w:hRule="atLeast"/>
        </w:trPr>
        <w:tc>
          <w:tcPr>
            <w:tcW w:w="93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128" w:type="dxa"/>
            <w:vAlign w:val="center"/>
          </w:tcPr>
          <w:p>
            <w:pPr>
              <w:spacing w:line="400" w:lineRule="exact"/>
              <w:rPr>
                <w:rFonts w:ascii="仿宋_GB2312" w:hAnsi="仿宋_GB2312" w:cs="仿宋_GB2312"/>
                <w:sz w:val="24"/>
              </w:rPr>
            </w:pPr>
            <w:r>
              <w:rPr>
                <w:rFonts w:hint="eastAsia" w:ascii="仿宋_GB2312" w:hAnsi="仿宋_GB2312" w:cs="仿宋_GB2312"/>
                <w:sz w:val="24"/>
              </w:rPr>
              <w:t>出具虚假、误导性陈述或者重大遗漏报告.每次扣5分</w:t>
            </w:r>
          </w:p>
        </w:tc>
        <w:tc>
          <w:tcPr>
            <w:tcW w:w="1008" w:type="dxa"/>
            <w:vAlign w:val="center"/>
          </w:tcPr>
          <w:p>
            <w:pPr>
              <w:spacing w:line="400" w:lineRule="exact"/>
              <w:jc w:val="center"/>
              <w:rPr>
                <w:rFonts w:ascii="仿宋_GB2312" w:hAnsi="仿宋_GB2312" w:cs="仿宋_GB2312"/>
                <w:sz w:val="22"/>
              </w:rPr>
            </w:pPr>
            <w:r>
              <w:rPr>
                <w:rFonts w:hint="eastAsia" w:ascii="仿宋_GB2312" w:hAnsi="仿宋_GB2312" w:cs="仿宋_GB2312"/>
                <w:sz w:val="22"/>
              </w:rPr>
              <w:t>1年</w:t>
            </w:r>
          </w:p>
        </w:tc>
        <w:tc>
          <w:tcPr>
            <w:tcW w:w="1023" w:type="dxa"/>
            <w:vAlign w:val="center"/>
          </w:tcPr>
          <w:p>
            <w:pPr>
              <w:spacing w:line="400" w:lineRule="exact"/>
              <w:jc w:val="center"/>
              <w:rPr>
                <w:rFonts w:ascii="仿宋_GB2312" w:hAnsi="仿宋_GB2312" w:cs="仿宋_GB2312"/>
                <w:sz w:val="24"/>
                <w:shd w:val="clear" w:color="auto" w:fill="FFFFFF"/>
              </w:rPr>
            </w:pPr>
            <w:r>
              <w:rPr>
                <w:rFonts w:hint="eastAsia" w:ascii="仿宋_GB2312" w:hAnsi="仿宋_GB2312" w:cs="仿宋_GB2312"/>
                <w:sz w:val="24"/>
                <w:shd w:val="clear" w:color="auto" w:fill="FFFFFF"/>
              </w:rPr>
              <w:t>15</w:t>
            </w:r>
          </w:p>
        </w:tc>
        <w:tc>
          <w:tcPr>
            <w:tcW w:w="641" w:type="dxa"/>
            <w:vAlign w:val="center"/>
          </w:tcPr>
          <w:p>
            <w:pPr>
              <w:spacing w:line="330" w:lineRule="exact"/>
              <w:jc w:val="center"/>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90" w:hRule="atLeast"/>
        </w:trPr>
        <w:tc>
          <w:tcPr>
            <w:tcW w:w="937" w:type="dxa"/>
            <w:vMerge w:val="continue"/>
            <w:vAlign w:val="center"/>
          </w:tcPr>
          <w:p>
            <w:pPr>
              <w:pStyle w:val="14"/>
              <w:snapToGrid w:val="0"/>
              <w:spacing w:line="330" w:lineRule="exact"/>
              <w:ind w:right="320" w:rightChars="100"/>
              <w:jc w:val="center"/>
              <w:textAlignment w:val="baseline"/>
              <w:rPr>
                <w:rFonts w:ascii="仿宋_GB2312" w:hAnsi="仿宋_GB2312" w:eastAsia="仿宋_GB2312" w:cs="仿宋_GB2312"/>
              </w:rPr>
            </w:pPr>
          </w:p>
        </w:tc>
        <w:tc>
          <w:tcPr>
            <w:tcW w:w="11128" w:type="dxa"/>
            <w:vAlign w:val="center"/>
          </w:tcPr>
          <w:p>
            <w:pPr>
              <w:spacing w:line="400" w:lineRule="exact"/>
              <w:jc w:val="center"/>
              <w:rPr>
                <w:rFonts w:ascii="仿宋_GB2312" w:hAnsi="仿宋_GB2312" w:cs="仿宋_GB2312"/>
                <w:sz w:val="24"/>
              </w:rPr>
            </w:pPr>
            <w:r>
              <w:rPr>
                <w:rFonts w:hint="eastAsia" w:ascii="仿宋_GB2312" w:hAnsi="仿宋_GB2312" w:cs="仿宋_GB2312"/>
                <w:b/>
                <w:bCs/>
                <w:sz w:val="24"/>
              </w:rPr>
              <w:t>合计扣分</w:t>
            </w:r>
          </w:p>
        </w:tc>
        <w:tc>
          <w:tcPr>
            <w:tcW w:w="2672" w:type="dxa"/>
            <w:gridSpan w:val="3"/>
            <w:vAlign w:val="center"/>
          </w:tcPr>
          <w:p>
            <w:pPr>
              <w:spacing w:line="330" w:lineRule="exact"/>
              <w:jc w:val="center"/>
              <w:rPr>
                <w:rFonts w:ascii="仿宋_GB2312" w:hAnsi="仿宋_GB2312" w:cs="仿宋_GB2312"/>
                <w:sz w:val="24"/>
              </w:rPr>
            </w:pPr>
          </w:p>
        </w:tc>
      </w:tr>
    </w:tbl>
    <w:p>
      <w:pPr>
        <w:spacing w:line="400" w:lineRule="exact"/>
        <w:sectPr>
          <w:pgSz w:w="16838" w:h="11906" w:orient="landscape"/>
          <w:pgMar w:top="1417" w:right="1417" w:bottom="1417" w:left="1417" w:header="851" w:footer="992" w:gutter="0"/>
          <w:cols w:space="425" w:num="1"/>
          <w:docGrid w:linePitch="312" w:charSpace="0"/>
        </w:sectPr>
      </w:pPr>
    </w:p>
    <w:p>
      <w:pPr>
        <w:pStyle w:val="7"/>
        <w:widowControl/>
        <w:shd w:val="clear" w:color="auto" w:fill="FFFFFF"/>
        <w:spacing w:beforeAutospacing="0" w:afterAutospacing="0"/>
        <w:jc w:val="both"/>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附件10</w:t>
      </w:r>
    </w:p>
    <w:p>
      <w:pPr>
        <w:pStyle w:val="7"/>
        <w:widowControl/>
        <w:shd w:val="clear" w:color="auto" w:fill="FFFFFF"/>
        <w:spacing w:beforeAutospacing="0" w:afterAutospacing="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40"/>
          <w:szCs w:val="40"/>
          <w:shd w:val="clear" w:color="auto" w:fill="FFFFFF"/>
        </w:rPr>
        <w:t>湖北省房地产企业信用等级评价申报表</w:t>
      </w:r>
    </w:p>
    <w:p>
      <w:pPr>
        <w:pStyle w:val="7"/>
        <w:widowControl/>
        <w:shd w:val="clear" w:color="auto" w:fill="FFFFFF"/>
        <w:spacing w:beforeAutospacing="0" w:afterAutospacing="0"/>
        <w:jc w:val="center"/>
        <w:rPr>
          <w:rFonts w:ascii="楷体_GB2312" w:hAnsi="楷体_GB2312" w:eastAsia="楷体_GB2312" w:cs="楷体_GB2312"/>
          <w:sz w:val="28"/>
          <w:szCs w:val="28"/>
          <w:shd w:val="clear" w:color="auto" w:fill="FFFFFF"/>
        </w:rPr>
      </w:pPr>
      <w:r>
        <w:rPr>
          <w:rFonts w:hint="eastAsia" w:ascii="楷体_GB2312" w:hAnsi="楷体_GB2312" w:eastAsia="楷体_GB2312" w:cs="楷体_GB2312"/>
          <w:sz w:val="28"/>
          <w:szCs w:val="28"/>
          <w:shd w:val="clear" w:color="auto" w:fill="FFFFFF"/>
        </w:rPr>
        <w:t>（    年）</w:t>
      </w:r>
    </w:p>
    <w:p>
      <w:pPr>
        <w:pStyle w:val="7"/>
        <w:widowControl/>
        <w:shd w:val="clear" w:color="auto" w:fill="FFFFFF"/>
        <w:spacing w:beforeAutospacing="0" w:afterAutospacing="0"/>
        <w:jc w:val="center"/>
        <w:rPr>
          <w:rFonts w:ascii="宋体" w:hAnsi="宋体" w:eastAsia="宋体" w:cs="宋体"/>
        </w:rPr>
      </w:pPr>
    </w:p>
    <w:tbl>
      <w:tblPr>
        <w:tblStyle w:val="9"/>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8"/>
        <w:gridCol w:w="908"/>
        <w:gridCol w:w="1974"/>
        <w:gridCol w:w="1582"/>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trPr>
        <w:tc>
          <w:tcPr>
            <w:tcW w:w="2038"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申报企业名称</w:t>
            </w:r>
          </w:p>
        </w:tc>
        <w:tc>
          <w:tcPr>
            <w:tcW w:w="7041" w:type="dxa"/>
            <w:gridSpan w:val="4"/>
            <w:vAlign w:val="center"/>
          </w:tcPr>
          <w:p>
            <w:pPr>
              <w:pStyle w:val="7"/>
              <w:widowControl/>
              <w:spacing w:beforeAutospacing="0" w:afterAutospacing="0"/>
              <w:jc w:val="center"/>
              <w:rPr>
                <w:rFonts w:ascii="宋体" w:hAnsi="宋体" w:eastAsia="宋体" w:cs="宋体"/>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atLeast"/>
        </w:trPr>
        <w:tc>
          <w:tcPr>
            <w:tcW w:w="2038"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所属行业及经营范围</w:t>
            </w:r>
          </w:p>
        </w:tc>
        <w:tc>
          <w:tcPr>
            <w:tcW w:w="7041" w:type="dxa"/>
            <w:gridSpan w:val="4"/>
            <w:vAlign w:val="center"/>
          </w:tcPr>
          <w:p>
            <w:pPr>
              <w:pStyle w:val="7"/>
              <w:widowControl/>
              <w:spacing w:beforeAutospacing="0" w:afterAutospacing="0"/>
              <w:jc w:val="center"/>
              <w:rPr>
                <w:rFonts w:ascii="宋体" w:hAnsi="宋体" w:eastAsia="宋体" w:cs="宋体"/>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038"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办公地址</w:t>
            </w:r>
          </w:p>
        </w:tc>
        <w:tc>
          <w:tcPr>
            <w:tcW w:w="2882" w:type="dxa"/>
            <w:gridSpan w:val="2"/>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1582"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员工人数</w:t>
            </w:r>
          </w:p>
        </w:tc>
        <w:tc>
          <w:tcPr>
            <w:tcW w:w="2577" w:type="dxa"/>
          </w:tcPr>
          <w:p>
            <w:pPr>
              <w:pStyle w:val="7"/>
              <w:widowControl/>
              <w:spacing w:beforeAutospacing="0" w:afterAutospacing="0"/>
              <w:rPr>
                <w:rFonts w:ascii="宋体" w:hAnsi="宋体" w:eastAsia="宋体" w:cs="宋体"/>
                <w:b/>
                <w:bCs/>
                <w:sz w:val="30"/>
                <w:szCs w:val="30"/>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8" w:hRule="atLeast"/>
        </w:trPr>
        <w:tc>
          <w:tcPr>
            <w:tcW w:w="2038"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法人代表</w:t>
            </w:r>
          </w:p>
        </w:tc>
        <w:tc>
          <w:tcPr>
            <w:tcW w:w="2882" w:type="dxa"/>
            <w:gridSpan w:val="2"/>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1582"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法人代码证书编号</w:t>
            </w:r>
          </w:p>
        </w:tc>
        <w:tc>
          <w:tcPr>
            <w:tcW w:w="2577" w:type="dxa"/>
          </w:tcPr>
          <w:p>
            <w:pPr>
              <w:pStyle w:val="7"/>
              <w:widowControl/>
              <w:spacing w:beforeAutospacing="0" w:afterAutospacing="0"/>
              <w:rPr>
                <w:rFonts w:ascii="宋体" w:hAnsi="宋体" w:eastAsia="宋体" w:cs="宋体"/>
                <w:b/>
                <w:bCs/>
                <w:sz w:val="30"/>
                <w:szCs w:val="30"/>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2038"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注册日期</w:t>
            </w:r>
          </w:p>
        </w:tc>
        <w:tc>
          <w:tcPr>
            <w:tcW w:w="2882" w:type="dxa"/>
            <w:gridSpan w:val="2"/>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1582"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注册资本</w:t>
            </w:r>
          </w:p>
        </w:tc>
        <w:tc>
          <w:tcPr>
            <w:tcW w:w="2577" w:type="dxa"/>
          </w:tcPr>
          <w:p>
            <w:pPr>
              <w:pStyle w:val="7"/>
              <w:widowControl/>
              <w:spacing w:beforeAutospacing="0" w:afterAutospacing="0"/>
              <w:rPr>
                <w:rFonts w:ascii="宋体" w:hAnsi="宋体" w:eastAsia="宋体" w:cs="宋体"/>
                <w:b/>
                <w:bCs/>
                <w:sz w:val="30"/>
                <w:szCs w:val="30"/>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038" w:type="dxa"/>
            <w:vMerge w:val="restart"/>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申报联系人</w:t>
            </w:r>
          </w:p>
        </w:tc>
        <w:tc>
          <w:tcPr>
            <w:tcW w:w="908" w:type="dxa"/>
            <w:vAlign w:val="center"/>
          </w:tcPr>
          <w:p>
            <w:pPr>
              <w:pStyle w:val="7"/>
              <w:widowControl/>
              <w:spacing w:beforeAutospacing="0" w:afterAutospacing="0"/>
              <w:jc w:val="center"/>
              <w:rPr>
                <w:rFonts w:ascii="宋体" w:hAnsi="宋体" w:eastAsia="宋体" w:cs="宋体"/>
                <w:sz w:val="28"/>
                <w:szCs w:val="28"/>
                <w:shd w:val="clear" w:color="auto" w:fill="FFFFFF"/>
                <w:lang w:bidi="ar"/>
              </w:rPr>
            </w:pPr>
            <w:r>
              <w:rPr>
                <w:rFonts w:hint="eastAsia" w:ascii="宋体" w:hAnsi="宋体" w:eastAsia="宋体" w:cs="宋体"/>
                <w:sz w:val="28"/>
                <w:szCs w:val="28"/>
                <w:shd w:val="clear" w:color="auto" w:fill="FFFFFF"/>
              </w:rPr>
              <w:t>姓名</w:t>
            </w:r>
          </w:p>
        </w:tc>
        <w:tc>
          <w:tcPr>
            <w:tcW w:w="1974" w:type="dxa"/>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1582" w:type="dxa"/>
            <w:vMerge w:val="restart"/>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联系电话</w:t>
            </w:r>
          </w:p>
        </w:tc>
        <w:tc>
          <w:tcPr>
            <w:tcW w:w="2577" w:type="dxa"/>
            <w:vMerge w:val="restart"/>
          </w:tcPr>
          <w:p>
            <w:pPr>
              <w:pStyle w:val="7"/>
              <w:widowControl/>
              <w:spacing w:beforeAutospacing="0" w:afterAutospacing="0"/>
              <w:rPr>
                <w:rFonts w:ascii="宋体" w:hAnsi="宋体" w:eastAsia="宋体" w:cs="宋体"/>
                <w:b/>
                <w:bCs/>
                <w:sz w:val="30"/>
                <w:szCs w:val="30"/>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038" w:type="dxa"/>
            <w:vMerge w:val="continue"/>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908" w:type="dxa"/>
            <w:vAlign w:val="center"/>
          </w:tcPr>
          <w:p>
            <w:pPr>
              <w:pStyle w:val="7"/>
              <w:widowControl/>
              <w:spacing w:beforeAutospacing="0" w:afterAutospacing="0"/>
              <w:jc w:val="center"/>
              <w:rPr>
                <w:rFonts w:ascii="宋体" w:hAnsi="宋体" w:eastAsia="宋体" w:cs="宋体"/>
                <w:sz w:val="28"/>
                <w:szCs w:val="28"/>
                <w:shd w:val="clear" w:color="auto" w:fill="FFFFFF"/>
                <w:lang w:bidi="ar"/>
              </w:rPr>
            </w:pPr>
            <w:r>
              <w:rPr>
                <w:rFonts w:hint="eastAsia" w:ascii="宋体" w:hAnsi="宋体" w:eastAsia="宋体" w:cs="宋体"/>
                <w:sz w:val="28"/>
                <w:szCs w:val="28"/>
                <w:shd w:val="clear" w:color="auto" w:fill="FFFFFF"/>
              </w:rPr>
              <w:t>职务</w:t>
            </w:r>
          </w:p>
        </w:tc>
        <w:tc>
          <w:tcPr>
            <w:tcW w:w="1974" w:type="dxa"/>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1582" w:type="dxa"/>
            <w:vMerge w:val="continue"/>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2577" w:type="dxa"/>
            <w:vMerge w:val="continue"/>
          </w:tcPr>
          <w:p>
            <w:pPr>
              <w:pStyle w:val="7"/>
              <w:widowControl/>
              <w:spacing w:beforeAutospacing="0" w:afterAutospacing="0"/>
              <w:rPr>
                <w:rFonts w:ascii="宋体" w:hAnsi="宋体" w:eastAsia="宋体" w:cs="宋体"/>
                <w:b/>
                <w:bCs/>
                <w:sz w:val="30"/>
                <w:szCs w:val="30"/>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2038"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自评得分</w:t>
            </w:r>
          </w:p>
        </w:tc>
        <w:tc>
          <w:tcPr>
            <w:tcW w:w="2882" w:type="dxa"/>
            <w:gridSpan w:val="2"/>
            <w:vAlign w:val="center"/>
          </w:tcPr>
          <w:p>
            <w:pPr>
              <w:pStyle w:val="7"/>
              <w:widowControl/>
              <w:spacing w:beforeAutospacing="0" w:afterAutospacing="0"/>
              <w:jc w:val="center"/>
              <w:rPr>
                <w:rFonts w:ascii="宋体" w:hAnsi="宋体" w:eastAsia="宋体" w:cs="宋体"/>
                <w:sz w:val="28"/>
                <w:szCs w:val="28"/>
                <w:shd w:val="clear" w:color="auto" w:fill="FFFFFF"/>
                <w:lang w:bidi="ar"/>
              </w:rPr>
            </w:pPr>
          </w:p>
        </w:tc>
        <w:tc>
          <w:tcPr>
            <w:tcW w:w="1582"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自评等级</w:t>
            </w:r>
          </w:p>
        </w:tc>
        <w:tc>
          <w:tcPr>
            <w:tcW w:w="2577" w:type="dxa"/>
          </w:tcPr>
          <w:p>
            <w:pPr>
              <w:pStyle w:val="7"/>
              <w:widowControl/>
              <w:spacing w:beforeAutospacing="0" w:afterAutospacing="0"/>
              <w:rPr>
                <w:rFonts w:ascii="宋体" w:hAnsi="宋体" w:eastAsia="宋体" w:cs="宋体"/>
                <w:b/>
                <w:bCs/>
                <w:sz w:val="30"/>
                <w:szCs w:val="30"/>
                <w:shd w:val="clear" w:color="auto" w:fill="FFFFFF"/>
              </w:rPr>
            </w:pPr>
          </w:p>
        </w:tc>
      </w:tr>
    </w:tbl>
    <w:p>
      <w:pPr>
        <w:rPr>
          <w:rFonts w:ascii="方正小标宋简体" w:hAnsi="方正小标宋简体" w:eastAsia="方正小标宋简体" w:cs="方正小标宋简体"/>
          <w:sz w:val="40"/>
          <w:szCs w:val="40"/>
          <w:shd w:val="clear" w:color="auto" w:fill="FFFFFF"/>
        </w:rPr>
      </w:pPr>
      <w:r>
        <w:rPr>
          <w:rFonts w:hint="eastAsia" w:ascii="方正小标宋简体" w:hAnsi="方正小标宋简体" w:eastAsia="方正小标宋简体" w:cs="方正小标宋简体"/>
          <w:sz w:val="40"/>
          <w:szCs w:val="40"/>
          <w:shd w:val="clear" w:color="auto" w:fill="FFFFFF"/>
        </w:rPr>
        <w:br w:type="page"/>
      </w:r>
    </w:p>
    <w:p>
      <w:pPr>
        <w:pStyle w:val="7"/>
        <w:widowControl/>
        <w:shd w:val="clear" w:color="auto" w:fill="FFFFFF"/>
        <w:spacing w:beforeAutospacing="0" w:afterAutospacing="0"/>
        <w:jc w:val="center"/>
        <w:rPr>
          <w:rFonts w:ascii="方正小标宋简体" w:hAnsi="方正小标宋简体" w:eastAsia="方正小标宋简体" w:cs="方正小标宋简体"/>
          <w:sz w:val="40"/>
          <w:szCs w:val="40"/>
          <w:shd w:val="clear" w:color="auto" w:fill="FFFFFF"/>
        </w:rPr>
      </w:pPr>
      <w:r>
        <w:rPr>
          <w:rFonts w:hint="eastAsia" w:ascii="方正小标宋简体" w:hAnsi="方正小标宋简体" w:eastAsia="方正小标宋简体" w:cs="方正小标宋简体"/>
          <w:sz w:val="40"/>
          <w:szCs w:val="40"/>
          <w:shd w:val="clear" w:color="auto" w:fill="FFFFFF"/>
        </w:rPr>
        <w:t>湖北省房地产企业信用等级评价加扣分事项清单</w:t>
      </w:r>
    </w:p>
    <w:tbl>
      <w:tblPr>
        <w:tblStyle w:val="9"/>
        <w:tblW w:w="92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7"/>
        <w:gridCol w:w="3725"/>
        <w:gridCol w:w="1982"/>
        <w:gridCol w:w="1326"/>
        <w:gridCol w:w="1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887" w:type="dxa"/>
            <w:vAlign w:val="center"/>
          </w:tcPr>
          <w:p>
            <w:pPr>
              <w:pStyle w:val="7"/>
              <w:widowControl/>
              <w:spacing w:beforeAutospacing="0" w:afterAutospacing="0" w:line="300" w:lineRule="exact"/>
              <w:jc w:val="center"/>
              <w:rPr>
                <w:rFonts w:ascii="黑体" w:hAnsi="黑体" w:eastAsia="黑体" w:cs="黑体"/>
                <w:sz w:val="28"/>
                <w:szCs w:val="28"/>
                <w:shd w:val="clear" w:color="auto" w:fill="FFFFFF"/>
              </w:rPr>
            </w:pPr>
            <w:r>
              <w:rPr>
                <w:rFonts w:hint="eastAsia" w:ascii="黑体" w:hAnsi="黑体" w:eastAsia="黑体" w:cs="黑体"/>
                <w:sz w:val="28"/>
                <w:szCs w:val="28"/>
                <w:shd w:val="clear" w:color="auto" w:fill="FFFFFF"/>
              </w:rPr>
              <w:t>序号</w:t>
            </w:r>
          </w:p>
        </w:tc>
        <w:tc>
          <w:tcPr>
            <w:tcW w:w="3725" w:type="dxa"/>
            <w:vAlign w:val="center"/>
          </w:tcPr>
          <w:p>
            <w:pPr>
              <w:pStyle w:val="7"/>
              <w:widowControl/>
              <w:spacing w:beforeAutospacing="0" w:afterAutospacing="0" w:line="300" w:lineRule="exact"/>
              <w:jc w:val="center"/>
              <w:rPr>
                <w:rFonts w:ascii="黑体" w:hAnsi="黑体" w:eastAsia="黑体" w:cs="黑体"/>
                <w:sz w:val="28"/>
                <w:szCs w:val="28"/>
                <w:shd w:val="clear" w:color="auto" w:fill="FFFFFF"/>
              </w:rPr>
            </w:pPr>
            <w:r>
              <w:rPr>
                <w:rFonts w:hint="eastAsia" w:ascii="黑体" w:hAnsi="黑体" w:eastAsia="黑体" w:cs="黑体"/>
                <w:sz w:val="28"/>
                <w:szCs w:val="28"/>
                <w:shd w:val="clear" w:color="auto" w:fill="FFFFFF"/>
              </w:rPr>
              <w:t>事项名称及内容</w:t>
            </w:r>
          </w:p>
        </w:tc>
        <w:tc>
          <w:tcPr>
            <w:tcW w:w="1982" w:type="dxa"/>
            <w:vAlign w:val="center"/>
          </w:tcPr>
          <w:p>
            <w:pPr>
              <w:pStyle w:val="7"/>
              <w:widowControl/>
              <w:spacing w:beforeAutospacing="0" w:afterAutospacing="0" w:line="300" w:lineRule="exact"/>
              <w:jc w:val="center"/>
              <w:rPr>
                <w:rFonts w:ascii="黑体" w:hAnsi="黑体" w:eastAsia="黑体" w:cs="黑体"/>
                <w:sz w:val="28"/>
                <w:szCs w:val="28"/>
                <w:shd w:val="clear" w:color="auto" w:fill="FFFFFF"/>
              </w:rPr>
            </w:pPr>
            <w:r>
              <w:rPr>
                <w:rFonts w:hint="eastAsia" w:ascii="黑体" w:hAnsi="黑体" w:eastAsia="黑体" w:cs="黑体"/>
                <w:sz w:val="28"/>
                <w:szCs w:val="28"/>
                <w:shd w:val="clear" w:color="auto" w:fill="FFFFFF"/>
              </w:rPr>
              <w:t>参考依据</w:t>
            </w:r>
          </w:p>
        </w:tc>
        <w:tc>
          <w:tcPr>
            <w:tcW w:w="1326" w:type="dxa"/>
            <w:vAlign w:val="center"/>
          </w:tcPr>
          <w:p>
            <w:pPr>
              <w:pStyle w:val="7"/>
              <w:widowControl/>
              <w:spacing w:beforeAutospacing="0" w:afterAutospacing="0" w:line="300" w:lineRule="exact"/>
              <w:jc w:val="center"/>
              <w:rPr>
                <w:rFonts w:ascii="黑体" w:hAnsi="黑体" w:eastAsia="黑体" w:cs="黑体"/>
                <w:sz w:val="28"/>
                <w:szCs w:val="28"/>
                <w:shd w:val="clear" w:color="auto" w:fill="FFFFFF"/>
              </w:rPr>
            </w:pPr>
            <w:r>
              <w:rPr>
                <w:rFonts w:hint="eastAsia" w:ascii="黑体" w:hAnsi="黑体" w:eastAsia="黑体" w:cs="黑体"/>
                <w:sz w:val="28"/>
                <w:szCs w:val="28"/>
                <w:shd w:val="clear" w:color="auto" w:fill="FFFFFF"/>
              </w:rPr>
              <w:t>加分/扣分</w:t>
            </w:r>
          </w:p>
        </w:tc>
        <w:tc>
          <w:tcPr>
            <w:tcW w:w="1358" w:type="dxa"/>
            <w:vAlign w:val="center"/>
          </w:tcPr>
          <w:p>
            <w:pPr>
              <w:pStyle w:val="7"/>
              <w:widowControl/>
              <w:spacing w:beforeAutospacing="0" w:afterAutospacing="0" w:line="300" w:lineRule="exact"/>
              <w:jc w:val="center"/>
              <w:rPr>
                <w:rFonts w:ascii="黑体" w:hAnsi="黑体" w:eastAsia="黑体" w:cs="黑体"/>
                <w:sz w:val="28"/>
                <w:szCs w:val="28"/>
                <w:shd w:val="clear" w:color="auto" w:fill="FFFFFF"/>
              </w:rPr>
            </w:pPr>
            <w:r>
              <w:rPr>
                <w:rFonts w:hint="eastAsia" w:ascii="黑体" w:hAnsi="黑体" w:eastAsia="黑体" w:cs="黑体"/>
                <w:sz w:val="28"/>
                <w:szCs w:val="28"/>
                <w:shd w:val="clear" w:color="auto" w:fill="FFFFFF"/>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bl>
    <w:p>
      <w:pPr>
        <w:pStyle w:val="7"/>
        <w:widowControl/>
        <w:shd w:val="clear" w:color="auto" w:fill="FFFFFF"/>
        <w:spacing w:beforeAutospacing="0" w:afterAutospacing="0" w:line="31" w:lineRule="atLeast"/>
        <w:jc w:val="center"/>
        <w:rPr>
          <w:rFonts w:ascii="宋体" w:hAnsi="宋体" w:eastAsia="宋体" w:cs="宋体"/>
          <w:b/>
          <w:bCs/>
          <w:sz w:val="36"/>
          <w:szCs w:val="36"/>
          <w:shd w:val="clear" w:color="auto" w:fill="FFFFFF"/>
        </w:rPr>
      </w:pPr>
    </w:p>
    <w:p>
      <w:pPr>
        <w:rPr>
          <w:rFonts w:ascii="宋体" w:hAnsi="宋体" w:eastAsia="宋体" w:cs="宋体"/>
          <w:b/>
          <w:bCs/>
          <w:sz w:val="36"/>
          <w:szCs w:val="36"/>
          <w:shd w:val="clear" w:color="auto" w:fill="FFFFFF"/>
        </w:rPr>
      </w:pPr>
      <w:r>
        <w:rPr>
          <w:rFonts w:hint="eastAsia" w:ascii="宋体" w:hAnsi="宋体" w:eastAsia="宋体" w:cs="宋体"/>
          <w:b/>
          <w:bCs/>
          <w:sz w:val="36"/>
          <w:szCs w:val="36"/>
          <w:shd w:val="clear" w:color="auto" w:fill="FFFFFF"/>
        </w:rPr>
        <w:br w:type="page"/>
      </w:r>
    </w:p>
    <w:p>
      <w:pPr>
        <w:pStyle w:val="7"/>
        <w:widowControl/>
        <w:shd w:val="clear" w:color="auto" w:fill="FFFFFF"/>
        <w:spacing w:beforeAutospacing="0" w:afterAutospacing="0" w:line="31" w:lineRule="atLeast"/>
        <w:jc w:val="center"/>
        <w:rPr>
          <w:rFonts w:ascii="宋体" w:hAnsi="宋体" w:eastAsia="宋体" w:cs="宋体"/>
          <w:b/>
          <w:bCs/>
          <w:sz w:val="36"/>
          <w:szCs w:val="36"/>
          <w:shd w:val="clear" w:color="auto" w:fill="FFFFFF"/>
        </w:rPr>
      </w:pPr>
    </w:p>
    <w:p>
      <w:pPr>
        <w:pStyle w:val="7"/>
        <w:widowControl/>
        <w:shd w:val="clear" w:color="auto" w:fill="FFFFFF"/>
        <w:spacing w:beforeAutospacing="0" w:afterAutospacing="0" w:line="31" w:lineRule="atLeas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shd w:val="clear" w:color="auto" w:fill="FFFFFF"/>
        </w:rPr>
        <w:t>承 诺 书</w:t>
      </w:r>
    </w:p>
    <w:p>
      <w:pPr>
        <w:pStyle w:val="7"/>
        <w:widowControl/>
        <w:shd w:val="clear" w:color="auto" w:fill="FFFFFF"/>
        <w:spacing w:beforeAutospacing="0" w:afterAutospacing="0" w:line="600" w:lineRule="atLeast"/>
        <w:ind w:firstLine="574"/>
        <w:jc w:val="both"/>
        <w:rPr>
          <w:rFonts w:ascii="仿宋_GB2312" w:hAnsi="仿宋_GB2312" w:cs="仿宋_GB2312"/>
          <w:sz w:val="32"/>
          <w:szCs w:val="32"/>
          <w:shd w:val="clear" w:color="auto" w:fill="FFFFFF"/>
        </w:rPr>
      </w:pPr>
    </w:p>
    <w:p>
      <w:pPr>
        <w:pStyle w:val="7"/>
        <w:widowControl/>
        <w:shd w:val="clear" w:color="auto" w:fill="FFFFFF"/>
        <w:spacing w:beforeAutospacing="0" w:afterAutospacing="0" w:line="600" w:lineRule="atLeast"/>
        <w:ind w:firstLine="574"/>
        <w:jc w:val="both"/>
        <w:rPr>
          <w:rFonts w:ascii="仿宋_GB2312" w:hAnsi="仿宋_GB2312" w:cs="仿宋_GB2312"/>
          <w:sz w:val="32"/>
          <w:szCs w:val="32"/>
        </w:rPr>
      </w:pPr>
      <w:r>
        <w:rPr>
          <w:rFonts w:hint="eastAsia" w:ascii="仿宋_GB2312" w:hAnsi="仿宋_GB2312" w:cs="仿宋_GB2312"/>
          <w:sz w:val="32"/>
          <w:szCs w:val="32"/>
          <w:shd w:val="clear" w:color="auto" w:fill="FFFFFF"/>
        </w:rPr>
        <w:t>本单位承诺，在申请本企业信用等级评价中所提交的证明材料、数据和资料全部真实、合法、有效，并对因材料虚假所引发的一切后果负法律责任。</w:t>
      </w:r>
    </w:p>
    <w:p>
      <w:pPr>
        <w:pStyle w:val="7"/>
        <w:widowControl/>
        <w:shd w:val="clear" w:color="auto" w:fill="FFFFFF"/>
        <w:spacing w:beforeAutospacing="0" w:afterAutospacing="0" w:line="600" w:lineRule="atLeast"/>
        <w:jc w:val="center"/>
        <w:rPr>
          <w:rFonts w:ascii="仿宋_GB2312" w:hAnsi="仿宋_GB2312" w:cs="仿宋_GB2312"/>
          <w:sz w:val="32"/>
          <w:szCs w:val="32"/>
        </w:rPr>
      </w:pPr>
      <w:r>
        <w:rPr>
          <w:rFonts w:hint="eastAsia" w:ascii="仿宋_GB2312" w:hAnsi="仿宋_GB2312" w:cs="仿宋_GB2312"/>
          <w:sz w:val="32"/>
          <w:szCs w:val="32"/>
        </w:rPr>
        <w:t xml:space="preserve"> </w:t>
      </w:r>
    </w:p>
    <w:p>
      <w:pPr>
        <w:pStyle w:val="7"/>
        <w:widowControl/>
        <w:shd w:val="clear" w:color="auto" w:fill="FFFFFF"/>
        <w:spacing w:beforeAutospacing="0" w:afterAutospacing="0" w:line="600" w:lineRule="atLeast"/>
        <w:jc w:val="center"/>
        <w:rPr>
          <w:rFonts w:ascii="仿宋_GB2312" w:hAnsi="仿宋_GB2312" w:cs="仿宋_GB2312"/>
          <w:sz w:val="32"/>
          <w:szCs w:val="32"/>
        </w:rPr>
      </w:pPr>
      <w:r>
        <w:rPr>
          <w:rFonts w:hint="eastAsia" w:ascii="仿宋_GB2312" w:hAnsi="仿宋_GB2312" w:cs="仿宋_GB2312"/>
          <w:sz w:val="32"/>
          <w:szCs w:val="32"/>
          <w:shd w:val="clear" w:color="auto" w:fill="FFFFFF"/>
        </w:rPr>
        <w:t xml:space="preserve">                     法定代表人签字：</w:t>
      </w:r>
    </w:p>
    <w:p>
      <w:pPr>
        <w:pStyle w:val="7"/>
        <w:widowControl/>
        <w:shd w:val="clear" w:color="auto" w:fill="FFFFFF"/>
        <w:spacing w:beforeAutospacing="0" w:afterAutospacing="0" w:line="600" w:lineRule="atLeast"/>
        <w:jc w:val="center"/>
        <w:rPr>
          <w:rFonts w:ascii="仿宋_GB2312" w:hAnsi="仿宋_GB2312" w:cs="仿宋_GB2312"/>
          <w:sz w:val="32"/>
          <w:szCs w:val="32"/>
        </w:rPr>
      </w:pPr>
      <w:r>
        <w:rPr>
          <w:rFonts w:hint="eastAsia" w:ascii="仿宋_GB2312" w:hAnsi="仿宋_GB2312" w:cs="仿宋_GB2312"/>
          <w:sz w:val="32"/>
          <w:szCs w:val="32"/>
          <w:shd w:val="clear" w:color="auto" w:fill="FFFFFF"/>
        </w:rPr>
        <w:t xml:space="preserve">                   年  月 日</w:t>
      </w:r>
    </w:p>
    <w:p>
      <w:pPr>
        <w:pStyle w:val="7"/>
        <w:widowControl/>
        <w:shd w:val="clear" w:color="auto" w:fill="FFFFFF"/>
        <w:spacing w:beforeAutospacing="0" w:afterAutospacing="0"/>
        <w:ind w:firstLine="640" w:firstLineChars="200"/>
        <w:jc w:val="both"/>
        <w:rPr>
          <w:rFonts w:cstheme="minorBidi"/>
          <w:kern w:val="2"/>
          <w:sz w:val="32"/>
        </w:rPr>
      </w:pPr>
    </w:p>
    <w:p/>
    <w:p>
      <w:pPr>
        <w:pStyle w:val="2"/>
      </w:pPr>
    </w:p>
    <w:p/>
    <w:p>
      <w:pPr>
        <w:pStyle w:val="2"/>
      </w:pPr>
    </w:p>
    <w:p>
      <w:pPr>
        <w:widowControl/>
        <w:jc w:val="left"/>
      </w:pPr>
      <w:r>
        <w:br w:type="page"/>
      </w:r>
    </w:p>
    <w:p>
      <w:pPr>
        <w:pStyle w:val="7"/>
        <w:widowControl/>
        <w:shd w:val="clear" w:color="auto" w:fill="FFFFFF"/>
        <w:spacing w:beforeAutospacing="0" w:afterAutospacing="0"/>
        <w:jc w:val="both"/>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附件11</w:t>
      </w:r>
    </w:p>
    <w:p>
      <w:pPr>
        <w:pStyle w:val="7"/>
        <w:widowControl/>
        <w:shd w:val="clear" w:color="auto" w:fill="FFFFFF"/>
        <w:spacing w:beforeAutospacing="0" w:afterAutospacing="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40"/>
          <w:szCs w:val="40"/>
          <w:shd w:val="clear" w:color="auto" w:fill="FFFFFF"/>
        </w:rPr>
        <w:t>湖北省房地产企业从业人员信用等级评价申报表</w:t>
      </w:r>
    </w:p>
    <w:p>
      <w:pPr>
        <w:pStyle w:val="7"/>
        <w:widowControl/>
        <w:shd w:val="clear" w:color="auto" w:fill="FFFFFF"/>
        <w:spacing w:beforeAutospacing="0" w:afterAutospacing="0"/>
        <w:jc w:val="center"/>
        <w:rPr>
          <w:rFonts w:ascii="楷体_GB2312" w:hAnsi="楷体_GB2312" w:eastAsia="楷体_GB2312" w:cs="楷体_GB2312"/>
          <w:sz w:val="28"/>
          <w:szCs w:val="28"/>
          <w:shd w:val="clear" w:color="auto" w:fill="FFFFFF"/>
        </w:rPr>
      </w:pPr>
      <w:r>
        <w:rPr>
          <w:rFonts w:hint="eastAsia" w:ascii="楷体_GB2312" w:hAnsi="楷体_GB2312" w:eastAsia="楷体_GB2312" w:cs="楷体_GB2312"/>
          <w:sz w:val="28"/>
          <w:szCs w:val="28"/>
          <w:shd w:val="clear" w:color="auto" w:fill="FFFFFF"/>
        </w:rPr>
        <w:t>（    年）</w:t>
      </w:r>
    </w:p>
    <w:p>
      <w:pPr>
        <w:pStyle w:val="7"/>
        <w:widowControl/>
        <w:shd w:val="clear" w:color="auto" w:fill="FFFFFF"/>
        <w:spacing w:beforeAutospacing="0" w:afterAutospacing="0"/>
        <w:jc w:val="center"/>
        <w:rPr>
          <w:rFonts w:ascii="宋体" w:hAnsi="宋体" w:eastAsia="宋体" w:cs="宋体"/>
        </w:rPr>
      </w:pPr>
    </w:p>
    <w:tbl>
      <w:tblPr>
        <w:tblStyle w:val="9"/>
        <w:tblW w:w="9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1"/>
        <w:gridCol w:w="2208"/>
        <w:gridCol w:w="710"/>
        <w:gridCol w:w="152"/>
        <w:gridCol w:w="1580"/>
        <w:gridCol w:w="866"/>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trPr>
        <w:tc>
          <w:tcPr>
            <w:tcW w:w="2061"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申报人姓名</w:t>
            </w:r>
          </w:p>
        </w:tc>
        <w:tc>
          <w:tcPr>
            <w:tcW w:w="2208" w:type="dxa"/>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862" w:type="dxa"/>
            <w:gridSpan w:val="2"/>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性别</w:t>
            </w:r>
          </w:p>
        </w:tc>
        <w:tc>
          <w:tcPr>
            <w:tcW w:w="1580" w:type="dxa"/>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866"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出生</w:t>
            </w:r>
          </w:p>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年月</w:t>
            </w:r>
          </w:p>
        </w:tc>
        <w:tc>
          <w:tcPr>
            <w:tcW w:w="1623" w:type="dxa"/>
            <w:vAlign w:val="center"/>
          </w:tcPr>
          <w:p>
            <w:pPr>
              <w:pStyle w:val="7"/>
              <w:widowControl/>
              <w:spacing w:beforeAutospacing="0" w:afterAutospacing="0"/>
              <w:jc w:val="center"/>
              <w:rPr>
                <w:rFonts w:ascii="宋体" w:hAnsi="宋体" w:eastAsia="宋体" w:cs="宋体"/>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2061"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政治面貌</w:t>
            </w:r>
          </w:p>
        </w:tc>
        <w:tc>
          <w:tcPr>
            <w:tcW w:w="2208" w:type="dxa"/>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862" w:type="dxa"/>
            <w:gridSpan w:val="2"/>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学历</w:t>
            </w:r>
          </w:p>
        </w:tc>
        <w:tc>
          <w:tcPr>
            <w:tcW w:w="1580" w:type="dxa"/>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866"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联系电话</w:t>
            </w:r>
          </w:p>
        </w:tc>
        <w:tc>
          <w:tcPr>
            <w:tcW w:w="1623" w:type="dxa"/>
            <w:vAlign w:val="center"/>
          </w:tcPr>
          <w:p>
            <w:pPr>
              <w:pStyle w:val="7"/>
              <w:widowControl/>
              <w:spacing w:beforeAutospacing="0" w:afterAutospacing="0"/>
              <w:jc w:val="center"/>
              <w:rPr>
                <w:rFonts w:ascii="宋体" w:hAnsi="宋体" w:eastAsia="宋体" w:cs="宋体"/>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3" w:hRule="atLeast"/>
        </w:trPr>
        <w:tc>
          <w:tcPr>
            <w:tcW w:w="2061"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所在机构及</w:t>
            </w:r>
          </w:p>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职务</w:t>
            </w:r>
          </w:p>
        </w:tc>
        <w:tc>
          <w:tcPr>
            <w:tcW w:w="7139" w:type="dxa"/>
            <w:gridSpan w:val="6"/>
            <w:vAlign w:val="center"/>
          </w:tcPr>
          <w:p>
            <w:pPr>
              <w:pStyle w:val="7"/>
              <w:widowControl/>
              <w:spacing w:beforeAutospacing="0" w:afterAutospacing="0"/>
              <w:jc w:val="center"/>
              <w:rPr>
                <w:rFonts w:ascii="宋体" w:hAnsi="宋体" w:eastAsia="宋体" w:cs="宋体"/>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2061"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办公地址</w:t>
            </w:r>
          </w:p>
        </w:tc>
        <w:tc>
          <w:tcPr>
            <w:tcW w:w="2918" w:type="dxa"/>
            <w:gridSpan w:val="2"/>
            <w:vAlign w:val="center"/>
          </w:tcPr>
          <w:p>
            <w:pPr>
              <w:pStyle w:val="7"/>
              <w:widowControl/>
              <w:spacing w:beforeAutospacing="0" w:afterAutospacing="0"/>
              <w:jc w:val="center"/>
              <w:rPr>
                <w:rFonts w:ascii="宋体" w:hAnsi="宋体" w:eastAsia="宋体" w:cs="宋体"/>
                <w:sz w:val="28"/>
                <w:szCs w:val="28"/>
                <w:shd w:val="clear" w:color="auto" w:fill="FFFFFF"/>
              </w:rPr>
            </w:pPr>
          </w:p>
        </w:tc>
        <w:tc>
          <w:tcPr>
            <w:tcW w:w="1732" w:type="dxa"/>
            <w:gridSpan w:val="2"/>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从业时间</w:t>
            </w:r>
          </w:p>
        </w:tc>
        <w:tc>
          <w:tcPr>
            <w:tcW w:w="2488" w:type="dxa"/>
            <w:gridSpan w:val="2"/>
          </w:tcPr>
          <w:p>
            <w:pPr>
              <w:pStyle w:val="7"/>
              <w:widowControl/>
              <w:spacing w:beforeAutospacing="0" w:afterAutospacing="0"/>
              <w:rPr>
                <w:rFonts w:ascii="宋体" w:hAnsi="宋体" w:eastAsia="宋体" w:cs="宋体"/>
                <w:b/>
                <w:bCs/>
                <w:sz w:val="30"/>
                <w:szCs w:val="30"/>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6" w:hRule="atLeast"/>
        </w:trPr>
        <w:tc>
          <w:tcPr>
            <w:tcW w:w="2061"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工作经历</w:t>
            </w:r>
          </w:p>
        </w:tc>
        <w:tc>
          <w:tcPr>
            <w:tcW w:w="7139" w:type="dxa"/>
            <w:gridSpan w:val="6"/>
            <w:vAlign w:val="center"/>
          </w:tcPr>
          <w:p>
            <w:pPr>
              <w:pStyle w:val="7"/>
              <w:widowControl/>
              <w:spacing w:beforeAutospacing="0" w:afterAutospacing="0"/>
              <w:rPr>
                <w:rFonts w:ascii="宋体" w:hAnsi="宋体" w:eastAsia="宋体" w:cs="宋体"/>
                <w:b/>
                <w:bCs/>
                <w:sz w:val="30"/>
                <w:szCs w:val="30"/>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2061" w:type="dxa"/>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自评得分</w:t>
            </w:r>
          </w:p>
        </w:tc>
        <w:tc>
          <w:tcPr>
            <w:tcW w:w="2918" w:type="dxa"/>
            <w:gridSpan w:val="2"/>
            <w:vAlign w:val="center"/>
          </w:tcPr>
          <w:p>
            <w:pPr>
              <w:pStyle w:val="7"/>
              <w:widowControl/>
              <w:spacing w:beforeAutospacing="0" w:afterAutospacing="0"/>
              <w:jc w:val="center"/>
              <w:rPr>
                <w:rFonts w:ascii="宋体" w:hAnsi="宋体" w:eastAsia="宋体" w:cs="宋体"/>
                <w:sz w:val="28"/>
                <w:szCs w:val="28"/>
                <w:shd w:val="clear" w:color="auto" w:fill="FFFFFF"/>
                <w:lang w:bidi="ar"/>
              </w:rPr>
            </w:pPr>
          </w:p>
        </w:tc>
        <w:tc>
          <w:tcPr>
            <w:tcW w:w="1732" w:type="dxa"/>
            <w:gridSpan w:val="2"/>
            <w:vAlign w:val="center"/>
          </w:tcPr>
          <w:p>
            <w:pPr>
              <w:pStyle w:val="7"/>
              <w:widowControl/>
              <w:spacing w:beforeAutospacing="0" w:afterAutospacing="0"/>
              <w:jc w:val="center"/>
              <w:rPr>
                <w:rFonts w:ascii="宋体" w:hAnsi="宋体" w:eastAsia="宋体" w:cs="宋体"/>
                <w:sz w:val="28"/>
                <w:szCs w:val="28"/>
                <w:shd w:val="clear" w:color="auto" w:fill="FFFFFF"/>
              </w:rPr>
            </w:pPr>
            <w:r>
              <w:rPr>
                <w:rFonts w:hint="eastAsia" w:ascii="宋体" w:hAnsi="宋体" w:eastAsia="宋体" w:cs="宋体"/>
                <w:sz w:val="28"/>
                <w:szCs w:val="28"/>
                <w:shd w:val="clear" w:color="auto" w:fill="FFFFFF"/>
              </w:rPr>
              <w:t>自评等级</w:t>
            </w:r>
          </w:p>
        </w:tc>
        <w:tc>
          <w:tcPr>
            <w:tcW w:w="2488" w:type="dxa"/>
            <w:gridSpan w:val="2"/>
          </w:tcPr>
          <w:p>
            <w:pPr>
              <w:pStyle w:val="7"/>
              <w:widowControl/>
              <w:spacing w:beforeAutospacing="0" w:afterAutospacing="0"/>
              <w:rPr>
                <w:rFonts w:ascii="宋体" w:hAnsi="宋体" w:eastAsia="宋体" w:cs="宋体"/>
                <w:b/>
                <w:bCs/>
                <w:sz w:val="30"/>
                <w:szCs w:val="30"/>
                <w:shd w:val="clear" w:color="auto" w:fill="FFFFFF"/>
              </w:rPr>
            </w:pPr>
          </w:p>
        </w:tc>
      </w:tr>
    </w:tbl>
    <w:p>
      <w:pPr>
        <w:rPr>
          <w:rFonts w:ascii="方正小标宋简体" w:hAnsi="方正小标宋简体" w:eastAsia="方正小标宋简体" w:cs="方正小标宋简体"/>
          <w:sz w:val="40"/>
          <w:szCs w:val="40"/>
          <w:shd w:val="clear" w:color="auto" w:fill="FFFFFF"/>
        </w:rPr>
      </w:pPr>
      <w:r>
        <w:rPr>
          <w:rFonts w:hint="eastAsia" w:ascii="方正小标宋简体" w:hAnsi="方正小标宋简体" w:eastAsia="方正小标宋简体" w:cs="方正小标宋简体"/>
          <w:sz w:val="40"/>
          <w:szCs w:val="40"/>
          <w:shd w:val="clear" w:color="auto" w:fill="FFFFFF"/>
        </w:rPr>
        <w:br w:type="page"/>
      </w:r>
    </w:p>
    <w:p>
      <w:pPr>
        <w:pStyle w:val="7"/>
        <w:widowControl/>
        <w:shd w:val="clear" w:color="auto" w:fill="FFFFFF"/>
        <w:spacing w:beforeAutospacing="0" w:afterAutospacing="0"/>
        <w:jc w:val="center"/>
        <w:rPr>
          <w:rFonts w:hint="eastAsia" w:ascii="方正小标宋简体" w:hAnsi="方正小标宋简体" w:eastAsia="方正小标宋简体" w:cs="方正小标宋简体"/>
          <w:sz w:val="40"/>
          <w:szCs w:val="40"/>
          <w:shd w:val="clear" w:color="auto" w:fill="FFFFFF"/>
        </w:rPr>
      </w:pPr>
      <w:r>
        <w:rPr>
          <w:rFonts w:hint="eastAsia" w:ascii="方正小标宋简体" w:hAnsi="方正小标宋简体" w:eastAsia="方正小标宋简体" w:cs="方正小标宋简体"/>
          <w:sz w:val="40"/>
          <w:szCs w:val="40"/>
          <w:shd w:val="clear" w:color="auto" w:fill="FFFFFF"/>
        </w:rPr>
        <w:t>湖北省房地产企业从业人员信用等级评价加扣分</w:t>
      </w:r>
    </w:p>
    <w:p>
      <w:pPr>
        <w:pStyle w:val="7"/>
        <w:widowControl/>
        <w:shd w:val="clear" w:color="auto" w:fill="FFFFFF"/>
        <w:spacing w:beforeAutospacing="0" w:afterAutospacing="0"/>
        <w:jc w:val="center"/>
        <w:rPr>
          <w:rFonts w:ascii="方正小标宋简体" w:hAnsi="方正小标宋简体" w:eastAsia="方正小标宋简体" w:cs="方正小标宋简体"/>
          <w:sz w:val="40"/>
          <w:szCs w:val="40"/>
          <w:shd w:val="clear" w:color="auto" w:fill="FFFFFF"/>
        </w:rPr>
      </w:pPr>
      <w:r>
        <w:rPr>
          <w:rFonts w:hint="eastAsia" w:ascii="方正小标宋简体" w:hAnsi="方正小标宋简体" w:eastAsia="方正小标宋简体" w:cs="方正小标宋简体"/>
          <w:sz w:val="40"/>
          <w:szCs w:val="40"/>
          <w:shd w:val="clear" w:color="auto" w:fill="FFFFFF"/>
        </w:rPr>
        <w:t>事项清单</w:t>
      </w:r>
    </w:p>
    <w:tbl>
      <w:tblPr>
        <w:tblStyle w:val="9"/>
        <w:tblW w:w="92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7"/>
        <w:gridCol w:w="3725"/>
        <w:gridCol w:w="1982"/>
        <w:gridCol w:w="1326"/>
        <w:gridCol w:w="1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887" w:type="dxa"/>
            <w:vAlign w:val="center"/>
          </w:tcPr>
          <w:p>
            <w:pPr>
              <w:pStyle w:val="7"/>
              <w:widowControl/>
              <w:spacing w:beforeAutospacing="0" w:afterAutospacing="0" w:line="300" w:lineRule="exact"/>
              <w:jc w:val="center"/>
              <w:rPr>
                <w:rFonts w:ascii="黑体" w:hAnsi="黑体" w:eastAsia="黑体" w:cs="黑体"/>
                <w:sz w:val="28"/>
                <w:szCs w:val="28"/>
                <w:shd w:val="clear" w:color="auto" w:fill="FFFFFF"/>
              </w:rPr>
            </w:pPr>
            <w:r>
              <w:rPr>
                <w:rFonts w:hint="eastAsia" w:ascii="黑体" w:hAnsi="黑体" w:eastAsia="黑体" w:cs="黑体"/>
                <w:sz w:val="28"/>
                <w:szCs w:val="28"/>
                <w:shd w:val="clear" w:color="auto" w:fill="FFFFFF"/>
              </w:rPr>
              <w:t>序号</w:t>
            </w:r>
          </w:p>
        </w:tc>
        <w:tc>
          <w:tcPr>
            <w:tcW w:w="3725" w:type="dxa"/>
            <w:vAlign w:val="center"/>
          </w:tcPr>
          <w:p>
            <w:pPr>
              <w:pStyle w:val="7"/>
              <w:widowControl/>
              <w:spacing w:beforeAutospacing="0" w:afterAutospacing="0" w:line="300" w:lineRule="exact"/>
              <w:jc w:val="center"/>
              <w:rPr>
                <w:rFonts w:ascii="黑体" w:hAnsi="黑体" w:eastAsia="黑体" w:cs="黑体"/>
                <w:sz w:val="28"/>
                <w:szCs w:val="28"/>
                <w:shd w:val="clear" w:color="auto" w:fill="FFFFFF"/>
              </w:rPr>
            </w:pPr>
            <w:r>
              <w:rPr>
                <w:rFonts w:hint="eastAsia" w:ascii="黑体" w:hAnsi="黑体" w:eastAsia="黑体" w:cs="黑体"/>
                <w:sz w:val="28"/>
                <w:szCs w:val="28"/>
                <w:shd w:val="clear" w:color="auto" w:fill="FFFFFF"/>
              </w:rPr>
              <w:t>事项名称及内容</w:t>
            </w:r>
          </w:p>
        </w:tc>
        <w:tc>
          <w:tcPr>
            <w:tcW w:w="1982" w:type="dxa"/>
            <w:vAlign w:val="center"/>
          </w:tcPr>
          <w:p>
            <w:pPr>
              <w:pStyle w:val="7"/>
              <w:widowControl/>
              <w:spacing w:beforeAutospacing="0" w:afterAutospacing="0" w:line="300" w:lineRule="exact"/>
              <w:jc w:val="center"/>
              <w:rPr>
                <w:rFonts w:ascii="黑体" w:hAnsi="黑体" w:eastAsia="黑体" w:cs="黑体"/>
                <w:sz w:val="28"/>
                <w:szCs w:val="28"/>
                <w:shd w:val="clear" w:color="auto" w:fill="FFFFFF"/>
              </w:rPr>
            </w:pPr>
            <w:r>
              <w:rPr>
                <w:rFonts w:hint="eastAsia" w:ascii="黑体" w:hAnsi="黑体" w:eastAsia="黑体" w:cs="黑体"/>
                <w:sz w:val="28"/>
                <w:szCs w:val="28"/>
                <w:shd w:val="clear" w:color="auto" w:fill="FFFFFF"/>
              </w:rPr>
              <w:t>参考依据</w:t>
            </w:r>
          </w:p>
        </w:tc>
        <w:tc>
          <w:tcPr>
            <w:tcW w:w="1326" w:type="dxa"/>
            <w:vAlign w:val="center"/>
          </w:tcPr>
          <w:p>
            <w:pPr>
              <w:pStyle w:val="7"/>
              <w:widowControl/>
              <w:spacing w:beforeAutospacing="0" w:afterAutospacing="0" w:line="300" w:lineRule="exact"/>
              <w:jc w:val="center"/>
              <w:rPr>
                <w:rFonts w:ascii="黑体" w:hAnsi="黑体" w:eastAsia="黑体" w:cs="黑体"/>
                <w:sz w:val="28"/>
                <w:szCs w:val="28"/>
                <w:shd w:val="clear" w:color="auto" w:fill="FFFFFF"/>
              </w:rPr>
            </w:pPr>
            <w:r>
              <w:rPr>
                <w:rFonts w:hint="eastAsia" w:ascii="黑体" w:hAnsi="黑体" w:eastAsia="黑体" w:cs="黑体"/>
                <w:sz w:val="28"/>
                <w:szCs w:val="28"/>
                <w:shd w:val="clear" w:color="auto" w:fill="FFFFFF"/>
              </w:rPr>
              <w:t>加分/扣分</w:t>
            </w:r>
          </w:p>
        </w:tc>
        <w:tc>
          <w:tcPr>
            <w:tcW w:w="1358" w:type="dxa"/>
            <w:vAlign w:val="center"/>
          </w:tcPr>
          <w:p>
            <w:pPr>
              <w:pStyle w:val="7"/>
              <w:widowControl/>
              <w:spacing w:beforeAutospacing="0" w:afterAutospacing="0" w:line="300" w:lineRule="exact"/>
              <w:jc w:val="center"/>
              <w:rPr>
                <w:rFonts w:ascii="黑体" w:hAnsi="黑体" w:eastAsia="黑体" w:cs="黑体"/>
                <w:sz w:val="28"/>
                <w:szCs w:val="28"/>
                <w:shd w:val="clear" w:color="auto" w:fill="FFFFFF"/>
              </w:rPr>
            </w:pPr>
            <w:r>
              <w:rPr>
                <w:rFonts w:hint="eastAsia" w:ascii="黑体" w:hAnsi="黑体" w:eastAsia="黑体" w:cs="黑体"/>
                <w:sz w:val="28"/>
                <w:szCs w:val="28"/>
                <w:shd w:val="clear" w:color="auto" w:fill="FFFFFF"/>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87"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3725"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982"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26"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c>
          <w:tcPr>
            <w:tcW w:w="1358" w:type="dxa"/>
          </w:tcPr>
          <w:p>
            <w:pPr>
              <w:pStyle w:val="7"/>
              <w:widowControl/>
              <w:spacing w:beforeAutospacing="0" w:afterAutospacing="0"/>
              <w:rPr>
                <w:rFonts w:ascii="方正小标宋简体" w:hAnsi="方正小标宋简体" w:eastAsia="方正小标宋简体" w:cs="方正小标宋简体"/>
                <w:sz w:val="32"/>
                <w:szCs w:val="32"/>
                <w:shd w:val="clear" w:color="auto" w:fill="FFFFFF"/>
              </w:rPr>
            </w:pPr>
          </w:p>
        </w:tc>
      </w:tr>
    </w:tbl>
    <w:p>
      <w:pPr>
        <w:pStyle w:val="7"/>
        <w:widowControl/>
        <w:shd w:val="clear" w:color="auto" w:fill="FFFFFF"/>
        <w:spacing w:beforeAutospacing="0" w:afterAutospacing="0" w:line="31" w:lineRule="atLeast"/>
        <w:jc w:val="center"/>
        <w:rPr>
          <w:rFonts w:ascii="宋体" w:hAnsi="宋体" w:eastAsia="宋体" w:cs="宋体"/>
          <w:b/>
          <w:bCs/>
          <w:sz w:val="36"/>
          <w:szCs w:val="36"/>
          <w:shd w:val="clear" w:color="auto" w:fill="FFFFFF"/>
        </w:rPr>
      </w:pPr>
    </w:p>
    <w:p>
      <w:pPr>
        <w:rPr>
          <w:rFonts w:ascii="宋体" w:hAnsi="宋体" w:eastAsia="宋体" w:cs="宋体"/>
          <w:b/>
          <w:bCs/>
          <w:sz w:val="36"/>
          <w:szCs w:val="36"/>
          <w:shd w:val="clear" w:color="auto" w:fill="FFFFFF"/>
        </w:rPr>
      </w:pPr>
      <w:r>
        <w:rPr>
          <w:rFonts w:hint="eastAsia" w:ascii="宋体" w:hAnsi="宋体" w:eastAsia="宋体" w:cs="宋体"/>
          <w:b/>
          <w:bCs/>
          <w:sz w:val="36"/>
          <w:szCs w:val="36"/>
          <w:shd w:val="clear" w:color="auto" w:fill="FFFFFF"/>
        </w:rPr>
        <w:br w:type="page"/>
      </w:r>
    </w:p>
    <w:p>
      <w:pPr>
        <w:pStyle w:val="7"/>
        <w:widowControl/>
        <w:shd w:val="clear" w:color="auto" w:fill="FFFFFF"/>
        <w:spacing w:beforeAutospacing="0" w:afterAutospacing="0" w:line="31" w:lineRule="atLeast"/>
        <w:jc w:val="center"/>
        <w:rPr>
          <w:rFonts w:ascii="宋体" w:hAnsi="宋体" w:eastAsia="宋体" w:cs="宋体"/>
          <w:b/>
          <w:bCs/>
          <w:sz w:val="36"/>
          <w:szCs w:val="36"/>
          <w:shd w:val="clear" w:color="auto" w:fill="FFFFFF"/>
        </w:rPr>
      </w:pPr>
    </w:p>
    <w:p>
      <w:pPr>
        <w:pStyle w:val="7"/>
        <w:widowControl/>
        <w:shd w:val="clear" w:color="auto" w:fill="FFFFFF"/>
        <w:spacing w:beforeAutospacing="0" w:afterAutospacing="0" w:line="31" w:lineRule="atLeas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shd w:val="clear" w:color="auto" w:fill="FFFFFF"/>
        </w:rPr>
        <w:t>承 诺 书</w:t>
      </w:r>
    </w:p>
    <w:p>
      <w:pPr>
        <w:pStyle w:val="7"/>
        <w:widowControl/>
        <w:shd w:val="clear" w:color="auto" w:fill="FFFFFF"/>
        <w:spacing w:beforeAutospacing="0" w:afterAutospacing="0" w:line="600" w:lineRule="atLeast"/>
        <w:ind w:firstLine="574"/>
        <w:jc w:val="both"/>
        <w:rPr>
          <w:rFonts w:ascii="仿宋_GB2312" w:hAnsi="仿宋_GB2312" w:cs="仿宋_GB2312"/>
          <w:sz w:val="32"/>
          <w:szCs w:val="32"/>
          <w:shd w:val="clear" w:color="auto" w:fill="FFFFFF"/>
        </w:rPr>
      </w:pPr>
    </w:p>
    <w:p>
      <w:pPr>
        <w:pStyle w:val="7"/>
        <w:widowControl/>
        <w:shd w:val="clear" w:color="auto" w:fill="FFFFFF"/>
        <w:spacing w:beforeAutospacing="0" w:afterAutospacing="0" w:line="600" w:lineRule="atLeast"/>
        <w:ind w:firstLine="574"/>
        <w:jc w:val="both"/>
        <w:rPr>
          <w:rFonts w:ascii="仿宋_GB2312" w:hAnsi="仿宋_GB2312" w:cs="仿宋_GB2312"/>
          <w:sz w:val="32"/>
          <w:szCs w:val="32"/>
        </w:rPr>
      </w:pPr>
      <w:r>
        <w:rPr>
          <w:rFonts w:hint="eastAsia" w:ascii="仿宋_GB2312" w:hAnsi="仿宋_GB2312" w:cs="仿宋_GB2312"/>
          <w:sz w:val="32"/>
          <w:szCs w:val="32"/>
          <w:shd w:val="clear" w:color="auto" w:fill="FFFFFF"/>
        </w:rPr>
        <w:t>本人承诺，在申请本人信用等级评价中所提交的基本信息、证明材料、数据和资料全部真实、合法、有效，并对因材料虚假所引发的一切后果负法律责任。</w:t>
      </w:r>
    </w:p>
    <w:p>
      <w:pPr>
        <w:pStyle w:val="7"/>
        <w:widowControl/>
        <w:shd w:val="clear" w:color="auto" w:fill="FFFFFF"/>
        <w:spacing w:beforeAutospacing="0" w:afterAutospacing="0" w:line="600" w:lineRule="atLeast"/>
        <w:jc w:val="center"/>
        <w:rPr>
          <w:rFonts w:ascii="仿宋_GB2312" w:hAnsi="仿宋_GB2312" w:cs="仿宋_GB2312"/>
          <w:sz w:val="32"/>
          <w:szCs w:val="32"/>
        </w:rPr>
      </w:pPr>
      <w:r>
        <w:rPr>
          <w:rFonts w:hint="eastAsia" w:ascii="仿宋_GB2312" w:hAnsi="仿宋_GB2312" w:cs="仿宋_GB2312"/>
          <w:sz w:val="32"/>
          <w:szCs w:val="32"/>
        </w:rPr>
        <w:t xml:space="preserve"> </w:t>
      </w:r>
    </w:p>
    <w:p>
      <w:pPr>
        <w:pStyle w:val="7"/>
        <w:widowControl/>
        <w:shd w:val="clear" w:color="auto" w:fill="FFFFFF"/>
        <w:spacing w:beforeAutospacing="0" w:afterAutospacing="0" w:line="600" w:lineRule="atLeast"/>
        <w:jc w:val="center"/>
        <w:rPr>
          <w:rFonts w:hint="eastAsia" w:ascii="仿宋_GB2312" w:hAnsi="仿宋_GB2312" w:cs="仿宋_GB2312"/>
          <w:sz w:val="32"/>
          <w:szCs w:val="32"/>
          <w:shd w:val="clear" w:color="auto" w:fill="FFFFFF"/>
        </w:rPr>
      </w:pPr>
      <w:r>
        <w:rPr>
          <w:rFonts w:hint="eastAsia" w:ascii="仿宋_GB2312" w:hAnsi="仿宋_GB2312" w:cs="仿宋_GB2312"/>
          <w:sz w:val="32"/>
          <w:szCs w:val="32"/>
          <w:shd w:val="clear" w:color="auto" w:fill="FFFFFF"/>
        </w:rPr>
        <w:t xml:space="preserve">                     申报人签字：</w:t>
      </w:r>
    </w:p>
    <w:p>
      <w:pPr>
        <w:pStyle w:val="7"/>
        <w:widowControl/>
        <w:shd w:val="clear" w:color="auto" w:fill="FFFFFF"/>
        <w:spacing w:beforeAutospacing="0" w:afterAutospacing="0" w:line="600" w:lineRule="atLeast"/>
        <w:jc w:val="center"/>
        <w:rPr>
          <w:rFonts w:ascii="仿宋_GB2312" w:hAnsi="仿宋_GB2312" w:cs="仿宋_GB2312"/>
          <w:sz w:val="32"/>
          <w:szCs w:val="32"/>
        </w:rPr>
      </w:pPr>
      <w:r>
        <w:rPr>
          <w:rFonts w:hint="eastAsia" w:ascii="仿宋_GB2312" w:hAnsi="仿宋_GB2312" w:cs="仿宋_GB2312"/>
          <w:sz w:val="32"/>
          <w:szCs w:val="32"/>
          <w:shd w:val="clear" w:color="auto" w:fill="FFFFFF"/>
        </w:rPr>
        <w:t xml:space="preserve">                   年  月 日</w:t>
      </w:r>
    </w:p>
    <w:p>
      <w:pPr>
        <w:pStyle w:val="7"/>
        <w:widowControl/>
        <w:shd w:val="clear" w:color="auto" w:fill="FFFFFF"/>
        <w:spacing w:beforeAutospacing="0" w:afterAutospacing="0"/>
        <w:ind w:firstLine="640" w:firstLineChars="200"/>
        <w:jc w:val="both"/>
        <w:rPr>
          <w:rFonts w:cstheme="minorBidi"/>
          <w:kern w:val="2"/>
          <w:sz w:val="32"/>
        </w:rPr>
      </w:pPr>
    </w:p>
    <w:sectPr>
      <w:pgSz w:w="11906" w:h="16838"/>
      <w:pgMar w:top="1417" w:right="1417" w:bottom="1417" w:left="1417" w:header="851" w:footer="992" w:gutter="0"/>
      <w:cols w:space="0" w:num="1"/>
      <w:docGrid w:linePitch="44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0" w:usb3="00000000" w:csb0="0000019F" w:csb1="00000000"/>
  </w:font>
  <w:font w:name="汉仪大黑简">
    <w:altName w:val="方正黑体_GBK"/>
    <w:panose1 w:val="00000000000000000000"/>
    <w:charset w:val="86"/>
    <w:family w:val="auto"/>
    <w:pitch w:val="default"/>
    <w:sig w:usb0="00000000" w:usb1="00000000" w:usb2="00000002"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11</w:t>
                          </w:r>
                          <w:r>
                            <w:fldChar w:fldCharType="end"/>
                          </w:r>
                        </w:p>
                      </w:txbxContent>
                    </wps:txbx>
                    <wps:bodyPr wrap="none" lIns="0" tIns="0" rIns="0" bIns="0" upright="tru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zql5uc8AAAAFAQAADwAAAAAAAAABACAAAAA4AAAAZHJzL2Rvd25yZXYu&#10;eG1sUEsBAhQAFAAAAAgAh07iQJ8c/wy1AQAAVAMAAA4AAAAAAAAAAQAgAAAANAEAAGRycy9lMm9E&#10;b2MueG1sUEsFBgAAAAAGAAYAWQEAAFs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HorizontalSpacing w:val="320"/>
  <w:drawingGridVerticalSpacing w:val="-7946"/>
  <w:displayVerticalDrawingGridEvery w:val="2"/>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xMjdhNTU1NzlhN2YyOTgyYjFjYTUwNmJjMzI5MmEifQ=="/>
  </w:docVars>
  <w:rsids>
    <w:rsidRoot w:val="41CD3456"/>
    <w:rsid w:val="00035ABF"/>
    <w:rsid w:val="000B5334"/>
    <w:rsid w:val="00121129"/>
    <w:rsid w:val="00150264"/>
    <w:rsid w:val="00281FBC"/>
    <w:rsid w:val="003E1B04"/>
    <w:rsid w:val="00496AD4"/>
    <w:rsid w:val="004E5954"/>
    <w:rsid w:val="00520058"/>
    <w:rsid w:val="0054274C"/>
    <w:rsid w:val="005B4191"/>
    <w:rsid w:val="00632708"/>
    <w:rsid w:val="006C50D8"/>
    <w:rsid w:val="006E127F"/>
    <w:rsid w:val="00705207"/>
    <w:rsid w:val="00731B2F"/>
    <w:rsid w:val="0076518B"/>
    <w:rsid w:val="007B61ED"/>
    <w:rsid w:val="007C3E27"/>
    <w:rsid w:val="007D07D8"/>
    <w:rsid w:val="007F76B5"/>
    <w:rsid w:val="00847A9E"/>
    <w:rsid w:val="00863C33"/>
    <w:rsid w:val="00876EED"/>
    <w:rsid w:val="0088601D"/>
    <w:rsid w:val="00896CCB"/>
    <w:rsid w:val="00905AA9"/>
    <w:rsid w:val="00941C40"/>
    <w:rsid w:val="00AA16B1"/>
    <w:rsid w:val="00AC2BA0"/>
    <w:rsid w:val="00AD7BD4"/>
    <w:rsid w:val="00B14F14"/>
    <w:rsid w:val="00BB14D2"/>
    <w:rsid w:val="00C025BD"/>
    <w:rsid w:val="00C038FC"/>
    <w:rsid w:val="00CE6B13"/>
    <w:rsid w:val="00D024FF"/>
    <w:rsid w:val="00DA2222"/>
    <w:rsid w:val="00DD4207"/>
    <w:rsid w:val="00F37F6F"/>
    <w:rsid w:val="00F437F6"/>
    <w:rsid w:val="00FF018F"/>
    <w:rsid w:val="00FF20C7"/>
    <w:rsid w:val="029C6F1F"/>
    <w:rsid w:val="05183871"/>
    <w:rsid w:val="060739AB"/>
    <w:rsid w:val="0766494E"/>
    <w:rsid w:val="07C8610A"/>
    <w:rsid w:val="082B1286"/>
    <w:rsid w:val="091C46AE"/>
    <w:rsid w:val="09410A35"/>
    <w:rsid w:val="0A737595"/>
    <w:rsid w:val="0AB31AE4"/>
    <w:rsid w:val="0C0A7163"/>
    <w:rsid w:val="0E854375"/>
    <w:rsid w:val="0F850206"/>
    <w:rsid w:val="0F863731"/>
    <w:rsid w:val="15687343"/>
    <w:rsid w:val="15D2444C"/>
    <w:rsid w:val="17CA6043"/>
    <w:rsid w:val="19420CC3"/>
    <w:rsid w:val="1952645C"/>
    <w:rsid w:val="196A6FCE"/>
    <w:rsid w:val="1CC55AB2"/>
    <w:rsid w:val="1D0E51AB"/>
    <w:rsid w:val="1D1E54DC"/>
    <w:rsid w:val="1E7C4A27"/>
    <w:rsid w:val="1E7E69FA"/>
    <w:rsid w:val="20815F9E"/>
    <w:rsid w:val="22CD2D17"/>
    <w:rsid w:val="23890566"/>
    <w:rsid w:val="27072D66"/>
    <w:rsid w:val="276432DA"/>
    <w:rsid w:val="279D5577"/>
    <w:rsid w:val="29650EAC"/>
    <w:rsid w:val="2A005033"/>
    <w:rsid w:val="2AA14BA7"/>
    <w:rsid w:val="2D791679"/>
    <w:rsid w:val="2EB4624C"/>
    <w:rsid w:val="2F9E6116"/>
    <w:rsid w:val="2FC82B3F"/>
    <w:rsid w:val="347E3E16"/>
    <w:rsid w:val="37681D02"/>
    <w:rsid w:val="3A577AF5"/>
    <w:rsid w:val="3AE42607"/>
    <w:rsid w:val="3C116B05"/>
    <w:rsid w:val="3DD775FB"/>
    <w:rsid w:val="41CD3456"/>
    <w:rsid w:val="4485541E"/>
    <w:rsid w:val="46476064"/>
    <w:rsid w:val="46AD770B"/>
    <w:rsid w:val="476D3D5B"/>
    <w:rsid w:val="481903DC"/>
    <w:rsid w:val="492B5418"/>
    <w:rsid w:val="4B37061A"/>
    <w:rsid w:val="4B710400"/>
    <w:rsid w:val="4C84171F"/>
    <w:rsid w:val="4DA94D88"/>
    <w:rsid w:val="515F0B5F"/>
    <w:rsid w:val="51937C66"/>
    <w:rsid w:val="52F43F1F"/>
    <w:rsid w:val="538E05FD"/>
    <w:rsid w:val="53DE5A68"/>
    <w:rsid w:val="54093F2B"/>
    <w:rsid w:val="553F29D0"/>
    <w:rsid w:val="561273F6"/>
    <w:rsid w:val="56756BA4"/>
    <w:rsid w:val="57D810AF"/>
    <w:rsid w:val="57F61D6F"/>
    <w:rsid w:val="5860553D"/>
    <w:rsid w:val="5DCA1E81"/>
    <w:rsid w:val="5F913BAF"/>
    <w:rsid w:val="608170B5"/>
    <w:rsid w:val="63D13BC6"/>
    <w:rsid w:val="653D0B2F"/>
    <w:rsid w:val="6564484E"/>
    <w:rsid w:val="665103F3"/>
    <w:rsid w:val="68444AE6"/>
    <w:rsid w:val="693B0367"/>
    <w:rsid w:val="69BF0728"/>
    <w:rsid w:val="6AB93526"/>
    <w:rsid w:val="6B4A3860"/>
    <w:rsid w:val="6C027255"/>
    <w:rsid w:val="6D415B5B"/>
    <w:rsid w:val="6D496C5B"/>
    <w:rsid w:val="70B07280"/>
    <w:rsid w:val="70E07981"/>
    <w:rsid w:val="74EB2C86"/>
    <w:rsid w:val="75645732"/>
    <w:rsid w:val="77E77AB8"/>
    <w:rsid w:val="79981B49"/>
    <w:rsid w:val="79993610"/>
    <w:rsid w:val="7C225057"/>
    <w:rsid w:val="7C8E1930"/>
    <w:rsid w:val="7FAD420A"/>
    <w:rsid w:val="E87FE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4"/>
      <w:lang w:val="en-US" w:eastAsia="zh-CN" w:bidi="ar-SA"/>
    </w:rPr>
  </w:style>
  <w:style w:type="paragraph" w:styleId="3">
    <w:name w:val="heading 3"/>
    <w:basedOn w:val="1"/>
    <w:next w:val="1"/>
    <w:qFormat/>
    <w:uiPriority w:val="0"/>
    <w:pPr>
      <w:widowControl/>
      <w:spacing w:beforeAutospacing="1" w:afterAutospacing="1"/>
      <w:jc w:val="left"/>
      <w:outlineLvl w:val="2"/>
    </w:pPr>
    <w:rPr>
      <w:rFonts w:ascii="宋体" w:hAnsi="宋体" w:cs="黑体"/>
      <w:b/>
      <w:bCs/>
      <w:kern w:val="0"/>
      <w:sz w:val="27"/>
      <w:szCs w:val="27"/>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99"/>
    <w:pPr>
      <w:tabs>
        <w:tab w:val="center" w:pos="4153"/>
        <w:tab w:val="right" w:pos="8306"/>
      </w:tabs>
      <w:snapToGrid w:val="0"/>
      <w:jc w:val="left"/>
    </w:pPr>
    <w:rPr>
      <w:sz w:val="18"/>
      <w:szCs w:val="18"/>
    </w:rPr>
  </w:style>
  <w:style w:type="paragraph" w:styleId="4">
    <w:name w:val="Body Text"/>
    <w:basedOn w:val="1"/>
    <w:next w:val="1"/>
    <w:link w:val="18"/>
    <w:qFormat/>
    <w:uiPriority w:val="0"/>
    <w:pPr>
      <w:spacing w:after="120"/>
    </w:pPr>
    <w:rPr>
      <w:rFonts w:ascii="Calibri" w:hAnsi="Calibri" w:eastAsia="宋体" w:cs="Times New Roman"/>
      <w:sz w:val="21"/>
      <w:szCs w:val="22"/>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3"/>
    <w:qFormat/>
    <w:uiPriority w:val="0"/>
    <w:pPr>
      <w:spacing w:before="240" w:after="60" w:line="312" w:lineRule="auto"/>
      <w:jc w:val="center"/>
      <w:outlineLvl w:val="1"/>
    </w:pPr>
    <w:rPr>
      <w:rFonts w:eastAsia="宋体" w:asciiTheme="majorHAnsi" w:hAnsiTheme="majorHAnsi" w:cstheme="majorBidi"/>
      <w:b/>
      <w:bCs/>
      <w:kern w:val="28"/>
      <w:szCs w:val="32"/>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5"/>
    <w:qFormat/>
    <w:uiPriority w:val="0"/>
    <w:rPr>
      <w:rFonts w:eastAsia="仿宋_GB2312" w:asciiTheme="minorHAnsi" w:hAnsiTheme="minorHAnsi" w:cstheme="minorBidi"/>
      <w:kern w:val="2"/>
      <w:sz w:val="18"/>
      <w:szCs w:val="18"/>
    </w:rPr>
  </w:style>
  <w:style w:type="character" w:customStyle="1" w:styleId="12">
    <w:name w:val="页脚 Char"/>
    <w:basedOn w:val="10"/>
    <w:link w:val="2"/>
    <w:qFormat/>
    <w:uiPriority w:val="99"/>
    <w:rPr>
      <w:rFonts w:eastAsia="仿宋_GB2312" w:asciiTheme="minorHAnsi" w:hAnsiTheme="minorHAnsi" w:cstheme="minorBidi"/>
      <w:kern w:val="2"/>
      <w:sz w:val="18"/>
      <w:szCs w:val="18"/>
    </w:rPr>
  </w:style>
  <w:style w:type="character" w:customStyle="1" w:styleId="13">
    <w:name w:val="副标题 Char"/>
    <w:basedOn w:val="10"/>
    <w:link w:val="6"/>
    <w:qFormat/>
    <w:uiPriority w:val="0"/>
    <w:rPr>
      <w:rFonts w:asciiTheme="majorHAnsi" w:hAnsiTheme="majorHAnsi" w:cstheme="majorBidi"/>
      <w:b/>
      <w:bCs/>
      <w:kern w:val="28"/>
      <w:sz w:val="32"/>
      <w:szCs w:val="32"/>
    </w:rPr>
  </w:style>
  <w:style w:type="paragraph" w:customStyle="1" w:styleId="14">
    <w:name w:val="HtmlNormal"/>
    <w:basedOn w:val="1"/>
    <w:qFormat/>
    <w:uiPriority w:val="0"/>
    <w:pPr>
      <w:suppressAutoHyphens/>
      <w:jc w:val="left"/>
    </w:pPr>
    <w:rPr>
      <w:rFonts w:eastAsiaTheme="minorEastAsia"/>
      <w:kern w:val="0"/>
      <w:sz w:val="24"/>
    </w:rPr>
  </w:style>
  <w:style w:type="character" w:customStyle="1" w:styleId="15">
    <w:name w:val="font01"/>
    <w:basedOn w:val="10"/>
    <w:qFormat/>
    <w:uiPriority w:val="0"/>
    <w:rPr>
      <w:rFonts w:hint="eastAsia" w:ascii="宋体" w:hAnsi="宋体" w:eastAsia="宋体" w:cs="宋体"/>
      <w:color w:val="000000"/>
      <w:sz w:val="24"/>
      <w:szCs w:val="24"/>
      <w:u w:val="none"/>
    </w:rPr>
  </w:style>
  <w:style w:type="character" w:customStyle="1" w:styleId="16">
    <w:name w:val="font51"/>
    <w:basedOn w:val="10"/>
    <w:qFormat/>
    <w:uiPriority w:val="0"/>
    <w:rPr>
      <w:rFonts w:hint="eastAsia" w:ascii="仿宋_GB2312" w:hAnsi="Times New Roman" w:eastAsia="仿宋_GB2312" w:cs="仿宋_GB2312"/>
      <w:color w:val="000000"/>
      <w:sz w:val="24"/>
      <w:szCs w:val="24"/>
      <w:u w:val="none"/>
    </w:rPr>
  </w:style>
  <w:style w:type="character" w:customStyle="1" w:styleId="17">
    <w:name w:val="font41"/>
    <w:basedOn w:val="10"/>
    <w:qFormat/>
    <w:uiPriority w:val="0"/>
    <w:rPr>
      <w:rFonts w:ascii="汉仪大黑简" w:hAnsi="汉仪大黑简" w:eastAsia="汉仪大黑简" w:cs="汉仪大黑简"/>
      <w:color w:val="000000"/>
      <w:sz w:val="24"/>
      <w:szCs w:val="24"/>
      <w:u w:val="none"/>
    </w:rPr>
  </w:style>
  <w:style w:type="character" w:customStyle="1" w:styleId="18">
    <w:name w:val="正文文本 Char"/>
    <w:basedOn w:val="10"/>
    <w:link w:val="4"/>
    <w:qFormat/>
    <w:uiPriority w:val="0"/>
    <w:rPr>
      <w:rFonts w:ascii="Calibri" w:hAnsi="Calibri"/>
      <w:kern w:val="2"/>
      <w:sz w:val="21"/>
      <w:szCs w:val="22"/>
    </w:rPr>
  </w:style>
  <w:style w:type="paragraph"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17376</Words>
  <Characters>3258</Characters>
  <Lines>27</Lines>
  <Paragraphs>41</Paragraphs>
  <TotalTime>29</TotalTime>
  <ScaleCrop>false</ScaleCrop>
  <LinksUpToDate>false</LinksUpToDate>
  <CharactersWithSpaces>20593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2023-05-29T16:23:00Z</dcterms:created>
  <dc:creator>lenovo</dc:creator>
  <cp:lastModifiedBy>user</cp:lastModifiedBy>
  <cp:lastPrinted>2023-06-19T16:24:00Z</cp:lastPrinted>
  <dcterms:modified xsi:type="dcterms:W3CDTF">2023-06-20T14:17:42Z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C1B0D8F37C614F79992F26CCB995446E_11</vt:lpwstr>
  </property>
</Properties>
</file>