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8291C">
      <w:pPr>
        <w:spacing w:line="600" w:lineRule="exact"/>
        <w:rPr>
          <w:rFonts w:ascii="黑体" w:hAnsi="黑体" w:eastAsia="黑体" w:cs="黑体"/>
          <w:szCs w:val="32"/>
        </w:rPr>
      </w:pPr>
      <w:r>
        <w:rPr>
          <w:rFonts w:hint="eastAsia" w:ascii="仿宋_GB2312" w:eastAsia="仿宋_GB2312"/>
          <w:sz w:val="32"/>
          <w:szCs w:val="32"/>
        </w:rPr>
        <w:t xml:space="preserve">  </w:t>
      </w:r>
    </w:p>
    <w:p w14:paraId="732BC61E">
      <w:pPr>
        <w:snapToGrid w:val="0"/>
        <w:rPr>
          <w:rFonts w:ascii="仿宋_GB2312"/>
          <w:sz w:val="28"/>
          <w:szCs w:val="28"/>
        </w:rPr>
      </w:pPr>
      <w:r>
        <w:rPr>
          <w:rFonts w:hint="eastAsia" w:ascii="仿宋_GB2312" w:cs="仿宋_GB2312"/>
          <w:sz w:val="28"/>
          <w:szCs w:val="28"/>
        </w:rPr>
        <w:t xml:space="preserve">                                                   </w:t>
      </w:r>
      <w:r>
        <w:rPr>
          <w:rFonts w:hint="eastAsia" w:ascii="仿宋_GB2312" w:cs="仿宋_GB2312"/>
          <w:szCs w:val="32"/>
        </w:rPr>
        <w:t>编号：</w:t>
      </w:r>
    </w:p>
    <w:p w14:paraId="314ED121">
      <w:pPr>
        <w:snapToGrid w:val="0"/>
        <w:spacing w:line="240" w:lineRule="exact"/>
        <w:rPr>
          <w:rFonts w:ascii="方正小标宋简体" w:eastAsia="方正小标宋简体"/>
          <w:sz w:val="44"/>
          <w:szCs w:val="44"/>
        </w:rPr>
      </w:pPr>
    </w:p>
    <w:p w14:paraId="32AA22B4">
      <w:pPr>
        <w:snapToGrid w:val="0"/>
        <w:jc w:val="center"/>
        <w:rPr>
          <w:rFonts w:ascii="方正小标宋简体" w:hAnsi="宋体" w:eastAsia="方正小标宋简体"/>
          <w:sz w:val="70"/>
          <w:szCs w:val="70"/>
        </w:rPr>
      </w:pPr>
      <w:r>
        <w:rPr>
          <w:rFonts w:hint="eastAsia" w:ascii="方正小标宋简体" w:hAnsi="宋体" w:eastAsia="方正小标宋简体" w:cs="方正小标宋简体"/>
          <w:sz w:val="70"/>
          <w:szCs w:val="70"/>
          <w:u w:val="single"/>
        </w:rPr>
        <w:t xml:space="preserve">         </w:t>
      </w:r>
      <w:r>
        <w:rPr>
          <w:rFonts w:hint="eastAsia" w:ascii="方正小标宋简体" w:hAnsi="宋体" w:eastAsia="方正小标宋简体" w:cs="方正小标宋简体"/>
          <w:sz w:val="70"/>
          <w:szCs w:val="70"/>
        </w:rPr>
        <w:t>物业服务合同</w:t>
      </w:r>
    </w:p>
    <w:p w14:paraId="7BD78FB8">
      <w:pPr>
        <w:snapToGrid w:val="0"/>
        <w:jc w:val="center"/>
        <w:rPr>
          <w:rFonts w:ascii="楷体_GB2312" w:hAnsi="楷体_GB2312" w:eastAsia="楷体_GB2312" w:cs="楷体_GB2312"/>
          <w:b/>
          <w:sz w:val="36"/>
          <w:szCs w:val="36"/>
        </w:rPr>
      </w:pPr>
    </w:p>
    <w:p w14:paraId="49157CD5">
      <w:pPr>
        <w:pStyle w:val="2"/>
        <w:ind w:left="640"/>
      </w:pPr>
    </w:p>
    <w:p w14:paraId="5CF48565">
      <w:pPr>
        <w:snapToGrid w:val="0"/>
        <w:jc w:val="center"/>
        <w:rPr>
          <w:rFonts w:ascii="宋体" w:hAnsi="宋体" w:cs="仿宋_GB2312"/>
          <w:b/>
          <w:sz w:val="80"/>
          <w:szCs w:val="80"/>
        </w:rPr>
      </w:pPr>
      <w:r>
        <w:rPr>
          <w:rFonts w:hint="eastAsia" w:ascii="宋体" w:hAnsi="宋体" w:cs="仿宋_GB2312"/>
          <w:b/>
          <w:sz w:val="80"/>
          <w:szCs w:val="80"/>
        </w:rPr>
        <w:t>示</w:t>
      </w:r>
    </w:p>
    <w:p w14:paraId="733FF017">
      <w:pPr>
        <w:snapToGrid w:val="0"/>
        <w:jc w:val="center"/>
        <w:rPr>
          <w:rFonts w:ascii="宋体" w:hAnsi="宋体" w:cs="仿宋_GB2312"/>
          <w:b/>
          <w:sz w:val="80"/>
          <w:szCs w:val="80"/>
        </w:rPr>
      </w:pPr>
    </w:p>
    <w:p w14:paraId="72F5D26E">
      <w:pPr>
        <w:snapToGrid w:val="0"/>
        <w:jc w:val="center"/>
        <w:rPr>
          <w:rFonts w:ascii="宋体" w:hAnsi="宋体" w:cs="仿宋_GB2312"/>
          <w:b/>
          <w:sz w:val="80"/>
          <w:szCs w:val="80"/>
        </w:rPr>
      </w:pPr>
      <w:r>
        <w:rPr>
          <w:rFonts w:hint="eastAsia" w:ascii="宋体" w:hAnsi="宋体" w:cs="仿宋_GB2312"/>
          <w:b/>
          <w:sz w:val="80"/>
          <w:szCs w:val="80"/>
        </w:rPr>
        <w:t>范</w:t>
      </w:r>
    </w:p>
    <w:p w14:paraId="6505E4BF">
      <w:pPr>
        <w:snapToGrid w:val="0"/>
        <w:jc w:val="center"/>
        <w:rPr>
          <w:rFonts w:ascii="宋体" w:hAnsi="宋体" w:cs="仿宋_GB2312"/>
          <w:b/>
          <w:sz w:val="80"/>
          <w:szCs w:val="80"/>
        </w:rPr>
      </w:pPr>
    </w:p>
    <w:p w14:paraId="7823B908">
      <w:pPr>
        <w:snapToGrid w:val="0"/>
        <w:jc w:val="center"/>
        <w:rPr>
          <w:rFonts w:ascii="宋体" w:hAnsi="宋体" w:cs="仿宋_GB2312"/>
          <w:b/>
          <w:sz w:val="80"/>
          <w:szCs w:val="80"/>
        </w:rPr>
      </w:pPr>
      <w:r>
        <w:rPr>
          <w:rFonts w:hint="eastAsia" w:ascii="宋体" w:hAnsi="宋体" w:cs="仿宋_GB2312"/>
          <w:b/>
          <w:sz w:val="80"/>
          <w:szCs w:val="80"/>
        </w:rPr>
        <w:t>文</w:t>
      </w:r>
    </w:p>
    <w:p w14:paraId="0760216F">
      <w:pPr>
        <w:snapToGrid w:val="0"/>
        <w:jc w:val="center"/>
        <w:rPr>
          <w:rFonts w:ascii="宋体" w:hAnsi="宋体" w:cs="仿宋_GB2312"/>
          <w:b/>
          <w:sz w:val="80"/>
          <w:szCs w:val="80"/>
        </w:rPr>
      </w:pPr>
    </w:p>
    <w:p w14:paraId="6E0CD741">
      <w:pPr>
        <w:snapToGrid w:val="0"/>
        <w:jc w:val="center"/>
        <w:rPr>
          <w:rFonts w:ascii="宋体" w:hAnsi="宋体"/>
          <w:b/>
          <w:sz w:val="80"/>
          <w:szCs w:val="80"/>
        </w:rPr>
      </w:pPr>
      <w:r>
        <w:rPr>
          <w:rFonts w:hint="eastAsia" w:ascii="宋体" w:hAnsi="宋体" w:cs="仿宋_GB2312"/>
          <w:b/>
          <w:sz w:val="80"/>
          <w:szCs w:val="80"/>
        </w:rPr>
        <w:t>本</w:t>
      </w:r>
    </w:p>
    <w:p w14:paraId="7F55AF92">
      <w:pPr>
        <w:snapToGrid w:val="0"/>
        <w:jc w:val="center"/>
        <w:rPr>
          <w:rFonts w:ascii="仿宋_GB2312"/>
          <w:szCs w:val="32"/>
        </w:rPr>
      </w:pPr>
    </w:p>
    <w:p w14:paraId="3F0A1898">
      <w:pPr>
        <w:snapToGrid w:val="0"/>
        <w:jc w:val="center"/>
        <w:rPr>
          <w:rFonts w:ascii="仿宋_GB2312"/>
          <w:szCs w:val="32"/>
        </w:rPr>
      </w:pPr>
    </w:p>
    <w:p w14:paraId="4B7C3632">
      <w:pPr>
        <w:spacing w:line="400" w:lineRule="exact"/>
        <w:ind w:firstLine="1896" w:firstLineChars="435"/>
        <w:rPr>
          <w:rFonts w:ascii="宋体" w:hAnsi="宋体" w:cs="Arial"/>
          <w:b/>
          <w:kern w:val="0"/>
          <w:sz w:val="36"/>
          <w:szCs w:val="36"/>
        </w:rPr>
      </w:pPr>
      <w:r>
        <w:rPr>
          <w:rFonts w:hint="eastAsia" w:ascii="宋体" w:hAnsi="宋体"/>
          <w:b/>
          <w:spacing w:val="38"/>
          <w:sz w:val="36"/>
          <w:szCs w:val="36"/>
        </w:rPr>
        <w:t>湖北省住房和城乡建设厅</w:t>
      </w:r>
      <w:r>
        <w:rPr>
          <w:rFonts w:hint="eastAsia" w:ascii="宋体" w:hAnsi="宋体" w:cs="Arial"/>
          <w:b/>
          <w:kern w:val="0"/>
          <w:sz w:val="36"/>
          <w:szCs w:val="36"/>
        </w:rPr>
        <w:t xml:space="preserve">  </w:t>
      </w:r>
    </w:p>
    <w:p w14:paraId="74617AC3">
      <w:pPr>
        <w:spacing w:line="400" w:lineRule="exact"/>
        <w:jc w:val="center"/>
        <w:rPr>
          <w:rFonts w:ascii="宋体" w:hAnsi="宋体" w:cs="Arial"/>
          <w:b/>
          <w:kern w:val="0"/>
          <w:sz w:val="36"/>
          <w:szCs w:val="36"/>
        </w:rPr>
      </w:pPr>
      <w:r>
        <w:rPr>
          <w:rFonts w:hint="eastAsia" w:ascii="宋体" w:hAnsi="宋体"/>
          <w:b/>
          <w:spacing w:val="54"/>
          <w:sz w:val="36"/>
          <w:szCs w:val="36"/>
        </w:rPr>
        <w:t xml:space="preserve">                       监制</w:t>
      </w:r>
    </w:p>
    <w:p w14:paraId="08B8A9DB">
      <w:pPr>
        <w:spacing w:line="400" w:lineRule="exact"/>
        <w:ind w:firstLine="1900" w:firstLineChars="396"/>
        <w:rPr>
          <w:rFonts w:ascii="宋体" w:hAnsi="宋体"/>
          <w:b/>
          <w:spacing w:val="60"/>
          <w:sz w:val="36"/>
          <w:szCs w:val="36"/>
        </w:rPr>
      </w:pPr>
      <w:r>
        <w:rPr>
          <w:rFonts w:hint="eastAsia" w:ascii="宋体" w:hAnsi="宋体"/>
          <w:b/>
          <w:spacing w:val="60"/>
          <w:sz w:val="36"/>
          <w:szCs w:val="36"/>
        </w:rPr>
        <w:t xml:space="preserve">湖北省市场监督管理局  </w:t>
      </w:r>
    </w:p>
    <w:p w14:paraId="24258E05">
      <w:pPr>
        <w:keepNext w:val="0"/>
        <w:keepLines w:val="0"/>
        <w:pageBreakBefore w:val="0"/>
        <w:widowControl w:val="0"/>
        <w:kinsoku/>
        <w:wordWrap/>
        <w:overflowPunct/>
        <w:topLinePunct w:val="0"/>
        <w:autoSpaceDE/>
        <w:autoSpaceDN/>
        <w:bidi w:val="0"/>
        <w:adjustRightInd/>
        <w:snapToGrid w:val="0"/>
        <w:spacing w:line="480" w:lineRule="exact"/>
        <w:jc w:val="center"/>
        <w:textAlignment w:val="auto"/>
        <w:rPr>
          <w:rFonts w:ascii="黑体" w:hAnsi="黑体" w:eastAsia="黑体" w:cs="黑体"/>
          <w:sz w:val="44"/>
          <w:szCs w:val="44"/>
        </w:rPr>
      </w:pPr>
      <w:r>
        <w:rPr>
          <w:rFonts w:hint="eastAsia" w:ascii="黑体" w:hAnsi="黑体" w:eastAsia="黑体" w:cs="黑体"/>
          <w:sz w:val="44"/>
          <w:szCs w:val="44"/>
        </w:rPr>
        <w:t>说 明</w:t>
      </w:r>
    </w:p>
    <w:p w14:paraId="0B2ABC8C">
      <w:pPr>
        <w:keepNext w:val="0"/>
        <w:keepLines w:val="0"/>
        <w:pageBreakBefore w:val="0"/>
        <w:widowControl w:val="0"/>
        <w:kinsoku/>
        <w:wordWrap/>
        <w:overflowPunct/>
        <w:topLinePunct w:val="0"/>
        <w:autoSpaceDE/>
        <w:autoSpaceDN/>
        <w:bidi w:val="0"/>
        <w:adjustRightInd/>
        <w:snapToGrid w:val="0"/>
        <w:spacing w:line="480" w:lineRule="exact"/>
        <w:ind w:firstLine="640"/>
        <w:textAlignment w:val="auto"/>
        <w:rPr>
          <w:rFonts w:ascii="仿宋_GB2312" w:hAnsi="仿宋_GB2312" w:cs="仿宋_GB2312"/>
          <w:szCs w:val="32"/>
        </w:rPr>
      </w:pPr>
      <w:r>
        <w:rPr>
          <w:rFonts w:hint="eastAsia" w:ascii="仿宋_GB2312" w:hAnsi="仿宋_GB2312" w:cs="仿宋_GB2312"/>
          <w:szCs w:val="32"/>
        </w:rPr>
        <w:t>1.本合同为物业服务合同示范文本，供业主大会(业主委员会)或业主与物业服务人签订物业服务合同时参照使用。合同双方当事人在签约之前应当仔细阅读本示范文本的内容。在签订合同时，合同双方应当出示有关证明及签约主体证明文件。经双方当事人协商确定，</w:t>
      </w:r>
      <w:r>
        <w:rPr>
          <w:rFonts w:hint="eastAsia" w:ascii="仿宋_GB2312"/>
          <w:szCs w:val="32"/>
        </w:rPr>
        <w:t>可以对本示范文本的条款内容（包括选择内容、填写空格部位的内容）进行选择、修改、增补或删减。</w:t>
      </w:r>
    </w:p>
    <w:p w14:paraId="4E2412FC">
      <w:pPr>
        <w:keepNext w:val="0"/>
        <w:keepLines w:val="0"/>
        <w:pageBreakBefore w:val="0"/>
        <w:widowControl w:val="0"/>
        <w:kinsoku/>
        <w:wordWrap/>
        <w:overflowPunct/>
        <w:topLinePunct w:val="0"/>
        <w:autoSpaceDE/>
        <w:autoSpaceDN/>
        <w:bidi w:val="0"/>
        <w:adjustRightInd/>
        <w:snapToGrid w:val="0"/>
        <w:spacing w:line="480" w:lineRule="exact"/>
        <w:ind w:firstLine="640"/>
        <w:textAlignment w:val="auto"/>
        <w:rPr>
          <w:rFonts w:ascii="仿宋_GB2312" w:hAnsi="仿宋_GB2312" w:cs="仿宋_GB2312"/>
          <w:szCs w:val="32"/>
        </w:rPr>
      </w:pPr>
      <w:r>
        <w:rPr>
          <w:rFonts w:hint="eastAsia" w:ascii="仿宋_GB2312" w:hAnsi="仿宋_GB2312" w:cs="仿宋_GB2312"/>
          <w:szCs w:val="32"/>
        </w:rPr>
        <w:t>2.本合同文本中所称物业服务，是指物业服务企业接受业主大会（业主委员会）或业主委托，按照物业服务合同约定，对房屋及配套的设施设备和相关场地进行维修、养护、管理，维护物业服务区域内的环境卫生和相关秩序的活动。</w:t>
      </w:r>
    </w:p>
    <w:p w14:paraId="6427AA95">
      <w:pPr>
        <w:keepNext w:val="0"/>
        <w:keepLines w:val="0"/>
        <w:pageBreakBefore w:val="0"/>
        <w:widowControl w:val="0"/>
        <w:kinsoku/>
        <w:wordWrap/>
        <w:overflowPunct/>
        <w:topLinePunct w:val="0"/>
        <w:autoSpaceDE/>
        <w:autoSpaceDN/>
        <w:bidi w:val="0"/>
        <w:adjustRightInd/>
        <w:snapToGrid w:val="0"/>
        <w:spacing w:line="480" w:lineRule="exact"/>
        <w:ind w:firstLine="640"/>
        <w:textAlignment w:val="auto"/>
        <w:rPr>
          <w:rFonts w:ascii="仿宋_GB2312" w:hAnsi="仿宋_GB2312" w:cs="仿宋_GB2312"/>
          <w:szCs w:val="32"/>
        </w:rPr>
      </w:pPr>
      <w:r>
        <w:rPr>
          <w:rFonts w:hint="eastAsia" w:ascii="仿宋_GB2312" w:hAnsi="仿宋_GB2312" w:cs="仿宋_GB2312"/>
          <w:szCs w:val="32"/>
        </w:rPr>
        <w:t>3.物业服务经营方式分为包干制、酬金制等方式，由双方当事人协商选定。包干制是指由业主向物业服务企业支付固定物业服务费用，盈余或者亏损均由物业服务企业享有或者承担的物业服务计费方式。酬金制是指在预收的物业服务费中按约定比例或者约定数额提取酬金支付给物业服务企业，其余全部用于物业服务合同约定的支出，结余或者不足均由业主享有或者承担的物业服务计费方式。</w:t>
      </w:r>
    </w:p>
    <w:p w14:paraId="005ED302">
      <w:pPr>
        <w:keepNext w:val="0"/>
        <w:keepLines w:val="0"/>
        <w:pageBreakBefore w:val="0"/>
        <w:widowControl w:val="0"/>
        <w:kinsoku/>
        <w:wordWrap/>
        <w:overflowPunct/>
        <w:topLinePunct w:val="0"/>
        <w:autoSpaceDE/>
        <w:autoSpaceDN/>
        <w:bidi w:val="0"/>
        <w:adjustRightInd/>
        <w:snapToGrid w:val="0"/>
        <w:spacing w:line="480" w:lineRule="exact"/>
        <w:ind w:firstLine="640"/>
        <w:textAlignment w:val="auto"/>
        <w:rPr>
          <w:rFonts w:ascii="仿宋_GB2312" w:hAnsi="仿宋_GB2312" w:cs="仿宋_GB2312"/>
          <w:szCs w:val="32"/>
        </w:rPr>
      </w:pPr>
      <w:r>
        <w:rPr>
          <w:rFonts w:hint="eastAsia" w:ascii="仿宋_GB2312" w:hAnsi="仿宋_GB2312" w:cs="仿宋_GB2312"/>
          <w:szCs w:val="32"/>
        </w:rPr>
        <w:t>4.</w:t>
      </w:r>
      <w:r>
        <w:fldChar w:fldCharType="begin"/>
      </w:r>
      <w:r>
        <w:instrText xml:space="preserve"> HYPERLINK "http://baike.baidu.com/view/30941.htm" \t "_blank" </w:instrText>
      </w:r>
      <w:r>
        <w:fldChar w:fldCharType="separate"/>
      </w:r>
      <w:r>
        <w:rPr>
          <w:rFonts w:hint="eastAsia" w:ascii="仿宋_GB2312" w:hAnsi="仿宋_GB2312" w:cs="仿宋_GB2312"/>
          <w:color w:val="000000"/>
          <w:szCs w:val="32"/>
        </w:rPr>
        <w:t>业主委员会</w:t>
      </w:r>
      <w:r>
        <w:rPr>
          <w:rFonts w:hint="eastAsia" w:ascii="仿宋_GB2312" w:hAnsi="仿宋_GB2312" w:cs="仿宋_GB2312"/>
          <w:color w:val="000000"/>
          <w:szCs w:val="32"/>
        </w:rPr>
        <w:fldChar w:fldCharType="end"/>
      </w:r>
      <w:r>
        <w:rPr>
          <w:rFonts w:hint="eastAsia" w:ascii="仿宋_GB2312" w:hAnsi="仿宋_GB2312" w:cs="仿宋_GB2312"/>
          <w:color w:val="000000"/>
          <w:szCs w:val="32"/>
        </w:rPr>
        <w:t>作为甲方与</w:t>
      </w:r>
      <w:r>
        <w:fldChar w:fldCharType="begin"/>
      </w:r>
      <w:r>
        <w:instrText xml:space="preserve"> HYPERLINK "http://baike.baidu.com/view/309953.htm" \t "_blank" </w:instrText>
      </w:r>
      <w:r>
        <w:fldChar w:fldCharType="separate"/>
      </w:r>
      <w:r>
        <w:rPr>
          <w:rFonts w:hint="eastAsia" w:ascii="仿宋_GB2312" w:hAnsi="仿宋_GB2312" w:cs="仿宋_GB2312"/>
          <w:color w:val="000000"/>
          <w:szCs w:val="32"/>
        </w:rPr>
        <w:t>业主大会</w:t>
      </w:r>
      <w:r>
        <w:rPr>
          <w:rFonts w:hint="eastAsia" w:ascii="仿宋_GB2312" w:hAnsi="仿宋_GB2312" w:cs="仿宋_GB2312"/>
          <w:color w:val="000000"/>
          <w:szCs w:val="32"/>
        </w:rPr>
        <w:fldChar w:fldCharType="end"/>
      </w:r>
      <w:r>
        <w:rPr>
          <w:rFonts w:hint="eastAsia" w:ascii="仿宋_GB2312" w:hAnsi="仿宋_GB2312" w:cs="仿宋_GB2312"/>
          <w:szCs w:val="32"/>
        </w:rPr>
        <w:t>依法选聘的物业服务企业签订的物业服务合同，对全体业主具有约束力。</w:t>
      </w:r>
    </w:p>
    <w:p w14:paraId="25495757">
      <w:pPr>
        <w:keepNext w:val="0"/>
        <w:keepLines w:val="0"/>
        <w:pageBreakBefore w:val="0"/>
        <w:widowControl w:val="0"/>
        <w:kinsoku/>
        <w:wordWrap/>
        <w:overflowPunct/>
        <w:topLinePunct w:val="0"/>
        <w:autoSpaceDE/>
        <w:autoSpaceDN/>
        <w:bidi w:val="0"/>
        <w:adjustRightInd/>
        <w:snapToGrid w:val="0"/>
        <w:spacing w:line="480" w:lineRule="exact"/>
        <w:ind w:firstLine="640"/>
        <w:textAlignment w:val="auto"/>
        <w:rPr>
          <w:rFonts w:ascii="仿宋_GB2312" w:hAnsi="仿宋_GB2312" w:cs="仿宋_GB2312"/>
          <w:color w:val="000000"/>
          <w:szCs w:val="32"/>
        </w:rPr>
      </w:pPr>
      <w:bookmarkStart w:id="0" w:name="OLE_LINK4"/>
      <w:bookmarkStart w:id="1" w:name="OLE_LINK3"/>
      <w:r>
        <w:rPr>
          <w:rFonts w:hint="eastAsia" w:ascii="仿宋_GB2312" w:hAnsi="仿宋_GB2312" w:cs="仿宋_GB2312"/>
          <w:color w:val="000000"/>
          <w:szCs w:val="32"/>
        </w:rPr>
        <w:t>5.</w:t>
      </w:r>
      <w:r>
        <w:rPr>
          <w:rFonts w:ascii="仿宋_GB2312" w:hAnsi="仿宋_GB2312" w:cs="仿宋_GB2312"/>
          <w:color w:val="000000"/>
          <w:szCs w:val="32"/>
        </w:rPr>
        <w:t>物业服务合同</w:t>
      </w:r>
      <w:r>
        <w:rPr>
          <w:rFonts w:hint="eastAsia" w:ascii="仿宋_GB2312" w:hAnsi="仿宋_GB2312" w:cs="仿宋_GB2312"/>
          <w:color w:val="000000"/>
          <w:szCs w:val="32"/>
        </w:rPr>
        <w:t>签订</w:t>
      </w:r>
      <w:r>
        <w:rPr>
          <w:rFonts w:ascii="仿宋_GB2312" w:hAnsi="仿宋_GB2312" w:cs="仿宋_GB2312"/>
          <w:color w:val="000000"/>
          <w:szCs w:val="32"/>
        </w:rPr>
        <w:t>后，业主委员会</w:t>
      </w:r>
      <w:r>
        <w:rPr>
          <w:rFonts w:hint="eastAsia" w:ascii="仿宋_GB2312" w:hAnsi="仿宋_GB2312" w:cs="仿宋_GB2312"/>
          <w:color w:val="000000"/>
          <w:szCs w:val="32"/>
        </w:rPr>
        <w:t>应当</w:t>
      </w:r>
      <w:r>
        <w:rPr>
          <w:rFonts w:ascii="仿宋_GB2312" w:hAnsi="仿宋_GB2312" w:cs="仿宋_GB2312"/>
          <w:color w:val="000000"/>
          <w:szCs w:val="32"/>
        </w:rPr>
        <w:t>自合同</w:t>
      </w:r>
      <w:r>
        <w:rPr>
          <w:rFonts w:hint="eastAsia" w:ascii="仿宋_GB2312" w:hAnsi="仿宋_GB2312" w:cs="仿宋_GB2312"/>
          <w:color w:val="000000"/>
          <w:szCs w:val="32"/>
        </w:rPr>
        <w:t>签订</w:t>
      </w:r>
      <w:r>
        <w:rPr>
          <w:rFonts w:ascii="仿宋_GB2312" w:hAnsi="仿宋_GB2312" w:cs="仿宋_GB2312"/>
          <w:color w:val="000000"/>
          <w:szCs w:val="32"/>
        </w:rPr>
        <w:t>之日起十日内向全体业主公布；</w:t>
      </w:r>
      <w:bookmarkEnd w:id="0"/>
      <w:bookmarkEnd w:id="1"/>
      <w:r>
        <w:rPr>
          <w:rFonts w:ascii="仿宋_GB2312" w:hAnsi="仿宋_GB2312" w:cs="仿宋_GB2312"/>
          <w:color w:val="000000"/>
          <w:szCs w:val="32"/>
        </w:rPr>
        <w:t>物业服务企业</w:t>
      </w:r>
      <w:r>
        <w:rPr>
          <w:rFonts w:hint="eastAsia" w:ascii="仿宋_GB2312" w:hAnsi="仿宋_GB2312" w:cs="仿宋_GB2312"/>
          <w:color w:val="000000"/>
          <w:szCs w:val="32"/>
        </w:rPr>
        <w:t>应当</w:t>
      </w:r>
      <w:r>
        <w:rPr>
          <w:rFonts w:ascii="仿宋_GB2312" w:hAnsi="仿宋_GB2312" w:cs="仿宋_GB2312"/>
          <w:color w:val="000000"/>
          <w:szCs w:val="32"/>
        </w:rPr>
        <w:t>自合同</w:t>
      </w:r>
      <w:r>
        <w:rPr>
          <w:rFonts w:hint="eastAsia" w:ascii="仿宋_GB2312" w:hAnsi="仿宋_GB2312" w:cs="仿宋_GB2312"/>
          <w:color w:val="000000"/>
          <w:szCs w:val="32"/>
        </w:rPr>
        <w:t>签订之日</w:t>
      </w:r>
      <w:r>
        <w:rPr>
          <w:rFonts w:ascii="仿宋_GB2312" w:hAnsi="仿宋_GB2312" w:cs="仿宋_GB2312"/>
          <w:color w:val="000000"/>
          <w:szCs w:val="32"/>
        </w:rPr>
        <w:t>起十</w:t>
      </w:r>
      <w:r>
        <w:rPr>
          <w:rFonts w:hint="eastAsia" w:ascii="仿宋_GB2312" w:hAnsi="仿宋_GB2312" w:cs="仿宋_GB2312"/>
          <w:color w:val="000000"/>
          <w:szCs w:val="32"/>
        </w:rPr>
        <w:t>五</w:t>
      </w:r>
      <w:r>
        <w:rPr>
          <w:rFonts w:ascii="仿宋_GB2312" w:hAnsi="仿宋_GB2312" w:cs="仿宋_GB2312"/>
          <w:color w:val="000000"/>
          <w:szCs w:val="32"/>
        </w:rPr>
        <w:t>日内报</w:t>
      </w:r>
      <w:r>
        <w:rPr>
          <w:rFonts w:hint="eastAsia" w:ascii="仿宋_GB2312" w:hAnsi="仿宋_GB2312" w:cs="仿宋_GB2312"/>
          <w:color w:val="000000"/>
          <w:szCs w:val="32"/>
        </w:rPr>
        <w:t>当地房产行政主管部门</w:t>
      </w:r>
      <w:r>
        <w:rPr>
          <w:rFonts w:ascii="仿宋_GB2312" w:hAnsi="仿宋_GB2312" w:cs="仿宋_GB2312"/>
          <w:color w:val="000000"/>
          <w:szCs w:val="32"/>
        </w:rPr>
        <w:t>备案。</w:t>
      </w:r>
    </w:p>
    <w:p w14:paraId="33CB6E13">
      <w:pPr>
        <w:keepNext w:val="0"/>
        <w:keepLines w:val="0"/>
        <w:pageBreakBefore w:val="0"/>
        <w:widowControl w:val="0"/>
        <w:kinsoku/>
        <w:wordWrap/>
        <w:overflowPunct/>
        <w:topLinePunct w:val="0"/>
        <w:autoSpaceDE/>
        <w:autoSpaceDN/>
        <w:bidi w:val="0"/>
        <w:adjustRightInd/>
        <w:snapToGrid w:val="0"/>
        <w:spacing w:line="480" w:lineRule="exact"/>
        <w:ind w:firstLine="640"/>
        <w:textAlignment w:val="auto"/>
        <w:rPr>
          <w:rFonts w:ascii="仿宋_GB2312" w:hAnsi="仿宋_GB2312" w:cs="仿宋_GB2312"/>
          <w:color w:val="000000"/>
          <w:szCs w:val="32"/>
        </w:rPr>
      </w:pPr>
      <w:r>
        <w:rPr>
          <w:rFonts w:hint="eastAsia" w:ascii="仿宋_GB2312" w:hAnsi="仿宋_GB2312" w:cs="仿宋_GB2312"/>
          <w:color w:val="000000"/>
          <w:szCs w:val="32"/>
        </w:rPr>
        <w:t>6.当事人对本合同示范文本的条款理解发生争议时，应当按照有关法律法规规定对合同条款进行解释。</w:t>
      </w:r>
    </w:p>
    <w:p w14:paraId="7C61EB33">
      <w:pPr>
        <w:snapToGrid w:val="0"/>
        <w:jc w:val="center"/>
        <w:rPr>
          <w:rFonts w:ascii="方正小标宋简体" w:hAnsi="宋体" w:eastAsia="方正小标宋简体"/>
          <w:sz w:val="44"/>
          <w:szCs w:val="44"/>
        </w:rPr>
      </w:pPr>
      <w:r>
        <w:rPr>
          <w:rFonts w:hint="eastAsia" w:ascii="方正小标宋简体" w:hAnsi="宋体" w:eastAsia="方正小标宋简体" w:cs="方正小标宋简体"/>
          <w:sz w:val="44"/>
          <w:szCs w:val="44"/>
          <w:u w:val="single"/>
        </w:rPr>
        <w:br w:type="page"/>
      </w:r>
      <w:r>
        <w:rPr>
          <w:rFonts w:hint="eastAsia" w:ascii="方正小标宋简体" w:hAnsi="宋体" w:eastAsia="方正小标宋简体" w:cs="方正小标宋简体"/>
          <w:sz w:val="44"/>
          <w:szCs w:val="44"/>
          <w:u w:val="single"/>
        </w:rPr>
        <w:t xml:space="preserve">            </w:t>
      </w:r>
      <w:r>
        <w:rPr>
          <w:rFonts w:hint="eastAsia" w:ascii="方正小标宋简体" w:hAnsi="宋体" w:eastAsia="方正小标宋简体" w:cs="方正小标宋简体"/>
          <w:sz w:val="44"/>
          <w:szCs w:val="44"/>
        </w:rPr>
        <w:t>物业服务合同</w:t>
      </w:r>
    </w:p>
    <w:p w14:paraId="4A060F5C">
      <w:pPr>
        <w:snapToGrid w:val="0"/>
        <w:spacing w:line="600" w:lineRule="exact"/>
        <w:ind w:firstLine="640" w:firstLineChars="200"/>
        <w:rPr>
          <w:rFonts w:ascii="仿宋_GB2312" w:hAnsi="宋体"/>
          <w:color w:val="000000"/>
          <w:szCs w:val="32"/>
        </w:rPr>
      </w:pPr>
    </w:p>
    <w:p w14:paraId="73B8D0E7">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sz w:val="32"/>
          <w:szCs w:val="32"/>
        </w:rPr>
      </w:pPr>
      <w:r>
        <w:rPr>
          <w:rFonts w:ascii="Times New Roman" w:hAnsi="Times New Roman" w:eastAsia="仿宋_GB2312"/>
          <w:sz w:val="32"/>
          <w:szCs w:val="32"/>
        </w:rPr>
        <w:t>甲方（开发建设单位）：</w:t>
      </w:r>
      <w:r>
        <w:rPr>
          <w:rFonts w:ascii="Times New Roman" w:hAnsi="Times New Roman" w:eastAsia="仿宋_GB2312"/>
          <w:color w:val="000000"/>
          <w:sz w:val="32"/>
          <w:szCs w:val="32"/>
          <w:u w:val="single"/>
        </w:rPr>
        <w:t>　　</w:t>
      </w:r>
      <w:r>
        <w:rPr>
          <w:rFonts w:hint="eastAsia" w:ascii="Times New Roman" w:hAnsi="Times New Roman" w:eastAsia="仿宋_GB2312"/>
          <w:color w:val="000000"/>
          <w:sz w:val="32"/>
          <w:szCs w:val="32"/>
          <w:u w:val="single"/>
        </w:rPr>
        <w:t>　　　</w:t>
      </w:r>
      <w:r>
        <w:rPr>
          <w:rFonts w:ascii="Times New Roman" w:hAnsi="Times New Roman" w:eastAsia="仿宋_GB2312"/>
          <w:color w:val="000000"/>
          <w:sz w:val="32"/>
          <w:szCs w:val="32"/>
          <w:u w:val="single"/>
        </w:rPr>
        <w:t xml:space="preserve">　　　　　　 </w:t>
      </w:r>
    </w:p>
    <w:p w14:paraId="4BD4A6CA">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sz w:val="32"/>
          <w:szCs w:val="32"/>
        </w:rPr>
      </w:pPr>
      <w:r>
        <w:rPr>
          <w:rFonts w:ascii="Times New Roman" w:hAnsi="Times New Roman" w:eastAsia="仿宋_GB2312"/>
          <w:color w:val="000000"/>
          <w:sz w:val="32"/>
          <w:szCs w:val="32"/>
        </w:rPr>
        <w:t>社会信用代码：</w:t>
      </w:r>
      <w:r>
        <w:rPr>
          <w:rFonts w:ascii="Times New Roman" w:hAnsi="Times New Roman" w:eastAsia="仿宋_GB2312"/>
          <w:color w:val="000000"/>
          <w:sz w:val="32"/>
          <w:szCs w:val="32"/>
          <w:u w:val="single"/>
        </w:rPr>
        <w:t>　　</w:t>
      </w:r>
      <w:r>
        <w:rPr>
          <w:rFonts w:hint="eastAsia" w:ascii="Times New Roman" w:hAnsi="Times New Roman" w:eastAsia="仿宋_GB2312"/>
          <w:color w:val="000000"/>
          <w:sz w:val="32"/>
          <w:szCs w:val="32"/>
          <w:u w:val="single"/>
        </w:rPr>
        <w:t>　　　</w:t>
      </w:r>
      <w:r>
        <w:rPr>
          <w:rFonts w:ascii="Times New Roman" w:hAnsi="Times New Roman" w:eastAsia="仿宋_GB2312"/>
          <w:color w:val="000000"/>
          <w:sz w:val="32"/>
          <w:szCs w:val="32"/>
          <w:u w:val="single"/>
        </w:rPr>
        <w:t>　　　　　　　</w:t>
      </w:r>
      <w:r>
        <w:rPr>
          <w:rFonts w:hint="eastAsia" w:ascii="Times New Roman" w:hAnsi="Times New Roman" w:eastAsia="仿宋_GB2312"/>
          <w:color w:val="000000"/>
          <w:sz w:val="32"/>
          <w:szCs w:val="32"/>
          <w:u w:val="single"/>
        </w:rPr>
        <w:t>　</w:t>
      </w:r>
    </w:p>
    <w:p w14:paraId="6468C51E">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法定代表人：</w:t>
      </w:r>
      <w:r>
        <w:rPr>
          <w:rFonts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 xml:space="preserve">         </w:t>
      </w:r>
      <w:r>
        <w:rPr>
          <w:rFonts w:ascii="Times New Roman" w:hAnsi="Times New Roman" w:eastAsia="仿宋_GB2312" w:cs="Times New Roman"/>
          <w:sz w:val="32"/>
          <w:szCs w:val="32"/>
          <w:u w:val="single"/>
        </w:rPr>
        <w:t>　　</w:t>
      </w:r>
    </w:p>
    <w:p w14:paraId="26B3A092">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cs="Times New Roman"/>
          <w:sz w:val="32"/>
          <w:szCs w:val="32"/>
          <w:u w:val="single"/>
        </w:rPr>
      </w:pPr>
      <w:r>
        <w:rPr>
          <w:rFonts w:hint="eastAsia" w:ascii="Times New Roman" w:hAnsi="Times New Roman" w:eastAsia="仿宋_GB2312" w:cs="Times New Roman"/>
          <w:sz w:val="32"/>
          <w:szCs w:val="32"/>
        </w:rPr>
        <w:t>联系电话：</w:t>
      </w:r>
      <w:r>
        <w:rPr>
          <w:rFonts w:hint="eastAsia" w:ascii="Times New Roman" w:hAnsi="Times New Roman" w:eastAsia="仿宋_GB2312" w:cs="Times New Roman"/>
          <w:sz w:val="32"/>
          <w:szCs w:val="32"/>
          <w:u w:val="single"/>
        </w:rPr>
        <w:t xml:space="preserve">          </w:t>
      </w:r>
      <w:r>
        <w:rPr>
          <w:rFonts w:hint="eastAsia"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u w:val="single"/>
        </w:rPr>
        <w:t xml:space="preserve">       </w:t>
      </w:r>
    </w:p>
    <w:p w14:paraId="0225085B">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cs="Times New Roman"/>
          <w:sz w:val="32"/>
          <w:szCs w:val="32"/>
          <w:u w:val="single"/>
        </w:rPr>
      </w:pPr>
      <w:r>
        <w:rPr>
          <w:rFonts w:hint="eastAsia" w:ascii="Times New Roman" w:hAnsi="Times New Roman" w:eastAsia="仿宋_GB2312" w:cs="Times New Roman"/>
          <w:sz w:val="32"/>
          <w:szCs w:val="32"/>
          <w:lang w:eastAsia="zh-CN"/>
        </w:rPr>
        <w:t>通信地址</w:t>
      </w:r>
      <w:r>
        <w:rPr>
          <w:rFonts w:ascii="Times New Roman" w:hAnsi="Times New Roman" w:eastAsia="仿宋_GB2312" w:cs="Times New Roman"/>
          <w:sz w:val="32"/>
          <w:szCs w:val="32"/>
        </w:rPr>
        <w:t>：</w:t>
      </w:r>
      <w:r>
        <w:rPr>
          <w:rFonts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rPr>
        <w:t>　　　</w:t>
      </w:r>
      <w:r>
        <w:rPr>
          <w:rFonts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 xml:space="preserve">   </w:t>
      </w:r>
      <w:r>
        <w:rPr>
          <w:rFonts w:ascii="Times New Roman" w:hAnsi="Times New Roman" w:eastAsia="仿宋_GB2312" w:cs="Times New Roman"/>
          <w:sz w:val="32"/>
          <w:szCs w:val="32"/>
          <w:u w:val="single"/>
        </w:rPr>
        <w:t xml:space="preserve">　　　 </w:t>
      </w:r>
    </w:p>
    <w:p w14:paraId="748A9F12">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授权委托人（代理人）：</w:t>
      </w:r>
      <w:r>
        <w:rPr>
          <w:rFonts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lang w:val="en-US" w:eastAsia="zh-CN"/>
        </w:rPr>
        <w:t xml:space="preserve"> </w:t>
      </w:r>
      <w:r>
        <w:rPr>
          <w:rFonts w:ascii="Times New Roman" w:hAnsi="Times New Roman" w:eastAsia="仿宋_GB2312" w:cs="Times New Roman"/>
          <w:sz w:val="32"/>
          <w:szCs w:val="32"/>
          <w:u w:val="single"/>
        </w:rPr>
        <w:t>　　　　　　　</w:t>
      </w:r>
    </w:p>
    <w:p w14:paraId="08D5C375">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cs="Times New Roman"/>
          <w:sz w:val="32"/>
          <w:szCs w:val="32"/>
          <w:u w:val="single"/>
        </w:rPr>
      </w:pPr>
      <w:r>
        <w:rPr>
          <w:rFonts w:hint="eastAsia" w:ascii="Times New Roman" w:hAnsi="Times New Roman" w:eastAsia="仿宋_GB2312" w:cs="Times New Roman"/>
          <w:sz w:val="32"/>
          <w:szCs w:val="32"/>
        </w:rPr>
        <w:t>联系电话：</w:t>
      </w:r>
      <w:r>
        <w:rPr>
          <w:rFonts w:hint="eastAsia" w:ascii="Times New Roman" w:hAnsi="Times New Roman" w:eastAsia="仿宋_GB2312" w:cs="Times New Roman"/>
          <w:sz w:val="32"/>
          <w:szCs w:val="32"/>
          <w:u w:val="single"/>
        </w:rPr>
        <w:t xml:space="preserve">              </w:t>
      </w:r>
      <w:r>
        <w:rPr>
          <w:rFonts w:hint="eastAsia" w:ascii="Times New Roman" w:hAnsi="Times New Roman" w:eastAsia="仿宋_GB2312" w:cs="Times New Roman"/>
          <w:sz w:val="32"/>
          <w:szCs w:val="32"/>
          <w:u w:val="single"/>
          <w:lang w:val="en-US" w:eastAsia="zh-CN"/>
        </w:rPr>
        <w:t xml:space="preserve">     </w:t>
      </w:r>
      <w:r>
        <w:rPr>
          <w:rFonts w:hint="eastAsia" w:ascii="Times New Roman" w:hAnsi="Times New Roman" w:eastAsia="仿宋_GB2312" w:cs="Times New Roman"/>
          <w:sz w:val="32"/>
          <w:szCs w:val="32"/>
          <w:u w:val="single"/>
        </w:rPr>
        <w:t xml:space="preserve">   </w:t>
      </w:r>
    </w:p>
    <w:p w14:paraId="4CB4F68C">
      <w:pPr>
        <w:keepNext w:val="0"/>
        <w:keepLines w:val="0"/>
        <w:pageBreakBefore w:val="0"/>
        <w:kinsoku/>
        <w:overflowPunct/>
        <w:topLinePunct w:val="0"/>
        <w:autoSpaceDE/>
        <w:autoSpaceDN/>
        <w:bidi w:val="0"/>
        <w:adjustRightInd/>
        <w:snapToGrid/>
        <w:spacing w:line="480" w:lineRule="exact"/>
        <w:ind w:firstLine="640" w:firstLineChars="200"/>
        <w:textAlignment w:val="auto"/>
        <w:rPr>
          <w:rFonts w:ascii="Times New Roman" w:hAnsi="Times New Roman" w:eastAsia="仿宋_GB2312" w:cs="Times New Roman"/>
          <w:sz w:val="32"/>
          <w:szCs w:val="32"/>
          <w:u w:val="single"/>
        </w:rPr>
      </w:pPr>
      <w:r>
        <w:rPr>
          <w:rFonts w:ascii="Times New Roman" w:hAnsi="Times New Roman" w:eastAsia="仿宋_GB2312" w:cs="Times New Roman"/>
          <w:sz w:val="32"/>
          <w:szCs w:val="32"/>
        </w:rPr>
        <w:t>邮　编：</w:t>
      </w:r>
      <w:r>
        <w:rPr>
          <w:rFonts w:ascii="Times New Roman" w:hAnsi="Times New Roman" w:eastAsia="仿宋_GB2312" w:cs="Times New Roman"/>
          <w:sz w:val="32"/>
          <w:szCs w:val="32"/>
          <w:u w:val="single"/>
        </w:rPr>
        <w:t>　　</w:t>
      </w:r>
      <w:r>
        <w:rPr>
          <w:rFonts w:hint="eastAsia" w:ascii="Times New Roman" w:hAnsi="Times New Roman" w:eastAsia="仿宋_GB2312" w:cs="Times New Roman"/>
          <w:sz w:val="32"/>
          <w:szCs w:val="32"/>
          <w:u w:val="single"/>
        </w:rPr>
        <w:t>　　　</w:t>
      </w:r>
      <w:r>
        <w:rPr>
          <w:rFonts w:ascii="Times New Roman" w:hAnsi="Times New Roman" w:eastAsia="仿宋_GB2312" w:cs="Times New Roman"/>
          <w:sz w:val="32"/>
          <w:szCs w:val="32"/>
          <w:u w:val="single"/>
        </w:rPr>
        <w:t xml:space="preserve">　　　　　　 </w:t>
      </w:r>
    </w:p>
    <w:p w14:paraId="1F693A07">
      <w:pPr>
        <w:spacing w:line="600" w:lineRule="exact"/>
        <w:ind w:firstLine="640" w:firstLineChars="200"/>
        <w:rPr>
          <w:rFonts w:ascii="仿宋_GB2312"/>
          <w:color w:val="000000"/>
          <w:szCs w:val="32"/>
        </w:rPr>
      </w:pPr>
      <w:r>
        <w:rPr>
          <w:rFonts w:hint="eastAsia" w:ascii="仿宋_GB2312" w:cs="仿宋_GB2312"/>
          <w:color w:val="000000"/>
          <w:szCs w:val="32"/>
        </w:rPr>
        <w:t>乙方（物业服务人）:</w:t>
      </w:r>
      <w:r>
        <w:rPr>
          <w:rFonts w:hint="eastAsia" w:ascii="仿宋" w:hAnsi="仿宋" w:eastAsia="仿宋" w:cs="仿宋"/>
          <w:color w:val="000000"/>
          <w:szCs w:val="32"/>
          <w:u w:val="single"/>
        </w:rPr>
        <w:t xml:space="preserve">                 </w:t>
      </w:r>
    </w:p>
    <w:p w14:paraId="56C27007">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统一社会信用代码：</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           </w:t>
      </w:r>
    </w:p>
    <w:p w14:paraId="6F4ED38E">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法定代表人：</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                </w:t>
      </w:r>
    </w:p>
    <w:p w14:paraId="5D4CF1E7">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联系电话：</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                </w:t>
      </w:r>
    </w:p>
    <w:p w14:paraId="36A919B2">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委托代理人：</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                </w:t>
      </w:r>
    </w:p>
    <w:p w14:paraId="77F24D4B">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联系电话：</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                </w:t>
      </w:r>
    </w:p>
    <w:p w14:paraId="3E1024E9">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通信地址：</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                </w:t>
      </w:r>
    </w:p>
    <w:p w14:paraId="1043E25B">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邮政编码：</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                </w:t>
      </w:r>
    </w:p>
    <w:p w14:paraId="03C7DF7B">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根据《中华人民共和国民法典》《物业管理条例》《湖北省物业服务和管理条例》和相关法律、法规，甲乙双方在自愿、平等、协商一致的基础上，就甲方选聘乙方对</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（物业名称）提供物业服务事宜，订立本合同。</w:t>
      </w:r>
    </w:p>
    <w:p w14:paraId="5C4C3A7B">
      <w:pPr>
        <w:spacing w:line="600" w:lineRule="exact"/>
        <w:ind w:firstLine="640" w:firstLineChars="200"/>
        <w:rPr>
          <w:rFonts w:ascii="仿宋_GB2312" w:hAnsi="宋体" w:cs="仿宋_GB2312"/>
          <w:color w:val="000000"/>
          <w:szCs w:val="32"/>
        </w:rPr>
      </w:pPr>
    </w:p>
    <w:p w14:paraId="149C792A">
      <w:pPr>
        <w:spacing w:line="600" w:lineRule="exact"/>
        <w:jc w:val="center"/>
        <w:rPr>
          <w:rFonts w:ascii="黑体" w:hAnsi="黑体" w:eastAsia="黑体"/>
          <w:color w:val="000000"/>
          <w:szCs w:val="32"/>
        </w:rPr>
      </w:pPr>
      <w:r>
        <w:rPr>
          <w:rFonts w:ascii="黑体" w:hAnsi="黑体" w:eastAsia="黑体" w:cs="黑体"/>
          <w:color w:val="000000"/>
          <w:szCs w:val="32"/>
        </w:rPr>
        <w:t>第一章</w:t>
      </w:r>
      <w:r>
        <w:rPr>
          <w:rFonts w:hint="eastAsia" w:ascii="黑体" w:hAnsi="黑体" w:eastAsia="黑体" w:cs="黑体"/>
          <w:color w:val="000000"/>
          <w:szCs w:val="32"/>
        </w:rPr>
        <w:t xml:space="preserve">  物业服务区域情况</w:t>
      </w:r>
    </w:p>
    <w:p w14:paraId="3F045E37">
      <w:pPr>
        <w:numPr>
          <w:ilvl w:val="0"/>
          <w:numId w:val="1"/>
        </w:numPr>
        <w:snapToGrid w:val="0"/>
        <w:spacing w:line="600" w:lineRule="exact"/>
        <w:ind w:left="0" w:firstLine="640" w:firstLineChars="200"/>
        <w:rPr>
          <w:rFonts w:ascii="仿宋_GB2312" w:hAnsi="宋体"/>
          <w:color w:val="000000"/>
          <w:szCs w:val="32"/>
        </w:rPr>
      </w:pPr>
      <w:r>
        <w:rPr>
          <w:rFonts w:hint="eastAsia" w:ascii="黑体" w:hAnsi="黑体" w:eastAsia="黑体" w:cs="黑体"/>
          <w:color w:val="000000"/>
          <w:szCs w:val="32"/>
        </w:rPr>
        <w:t xml:space="preserve">  </w:t>
      </w:r>
      <w:r>
        <w:rPr>
          <w:rFonts w:hint="eastAsia" w:ascii="仿宋_GB2312" w:hAnsi="宋体" w:cs="仿宋_GB2312"/>
          <w:color w:val="000000"/>
          <w:szCs w:val="32"/>
        </w:rPr>
        <w:t>物业基本情况</w:t>
      </w:r>
    </w:p>
    <w:p w14:paraId="74F0E871">
      <w:pPr>
        <w:spacing w:line="600" w:lineRule="exact"/>
        <w:ind w:firstLine="640" w:firstLineChars="200"/>
        <w:rPr>
          <w:rFonts w:ascii="仿宋_GB2312"/>
          <w:color w:val="000000"/>
          <w:szCs w:val="32"/>
        </w:rPr>
      </w:pPr>
      <w:r>
        <w:rPr>
          <w:rFonts w:hint="eastAsia" w:ascii="仿宋_GB2312" w:cs="仿宋_GB2312"/>
          <w:color w:val="000000"/>
          <w:szCs w:val="32"/>
        </w:rPr>
        <w:t>物业名称:</w:t>
      </w:r>
      <w:r>
        <w:rPr>
          <w:rFonts w:hint="eastAsia" w:ascii="仿宋" w:hAnsi="仿宋" w:eastAsia="仿宋" w:cs="仿宋"/>
          <w:color w:val="000000"/>
          <w:szCs w:val="32"/>
          <w:u w:val="single"/>
        </w:rPr>
        <w:t xml:space="preserve">                                   </w:t>
      </w:r>
    </w:p>
    <w:p w14:paraId="4CA91144">
      <w:pPr>
        <w:spacing w:line="600" w:lineRule="exact"/>
        <w:ind w:firstLine="640" w:firstLineChars="200"/>
        <w:rPr>
          <w:rFonts w:ascii="仿宋_GB2312"/>
          <w:color w:val="000000"/>
          <w:szCs w:val="32"/>
        </w:rPr>
      </w:pPr>
      <w:r>
        <w:rPr>
          <w:rFonts w:hint="eastAsia" w:ascii="仿宋_GB2312" w:cs="仿宋_GB2312"/>
          <w:color w:val="000000"/>
          <w:szCs w:val="32"/>
        </w:rPr>
        <w:t>物业类型:</w:t>
      </w:r>
      <w:r>
        <w:rPr>
          <w:rFonts w:hint="eastAsia" w:ascii="仿宋" w:hAnsi="仿宋" w:eastAsia="仿宋" w:cs="仿宋"/>
          <w:color w:val="000000"/>
          <w:szCs w:val="32"/>
          <w:u w:val="single"/>
        </w:rPr>
        <w:t xml:space="preserve">                                   </w:t>
      </w:r>
    </w:p>
    <w:p w14:paraId="68CC3678">
      <w:pPr>
        <w:kinsoku w:val="0"/>
        <w:overflowPunct w:val="0"/>
        <w:spacing w:line="600" w:lineRule="exact"/>
        <w:ind w:firstLine="640" w:firstLineChars="200"/>
        <w:rPr>
          <w:rFonts w:ascii="仿宋" w:hAnsi="仿宋" w:eastAsia="仿宋" w:cs="仿宋"/>
          <w:color w:val="000000"/>
          <w:szCs w:val="32"/>
        </w:rPr>
      </w:pPr>
      <w:r>
        <w:rPr>
          <w:rFonts w:hint="eastAsia" w:ascii="仿宋_GB2312" w:cs="仿宋_GB2312"/>
          <w:color w:val="000000"/>
          <w:szCs w:val="32"/>
        </w:rPr>
        <w:t>坐落位置:</w:t>
      </w:r>
      <w:r>
        <w:rPr>
          <w:rFonts w:hint="eastAsia" w:ascii="仿宋" w:hAnsi="仿宋" w:eastAsia="仿宋" w:cs="仿宋"/>
          <w:color w:val="000000"/>
          <w:szCs w:val="32"/>
          <w:u w:val="single"/>
        </w:rPr>
        <w:t xml:space="preserve">     </w:t>
      </w:r>
      <w:r>
        <w:rPr>
          <w:rFonts w:hint="eastAsia" w:ascii="仿宋" w:hAnsi="仿宋" w:eastAsia="仿宋" w:cs="仿宋"/>
          <w:color w:val="000000"/>
          <w:szCs w:val="32"/>
        </w:rPr>
        <w:t>区（县、市）</w:t>
      </w:r>
      <w:r>
        <w:rPr>
          <w:rFonts w:hint="eastAsia" w:ascii="仿宋" w:hAnsi="仿宋" w:eastAsia="仿宋" w:cs="仿宋"/>
          <w:color w:val="000000"/>
          <w:szCs w:val="32"/>
          <w:u w:val="single"/>
        </w:rPr>
        <w:t xml:space="preserve">    </w:t>
      </w:r>
      <w:r>
        <w:rPr>
          <w:rFonts w:hint="eastAsia" w:ascii="仿宋" w:hAnsi="仿宋" w:eastAsia="仿宋" w:cs="仿宋"/>
          <w:color w:val="000000"/>
          <w:szCs w:val="32"/>
        </w:rPr>
        <w:t>街道（乡镇）</w:t>
      </w:r>
      <w:r>
        <w:rPr>
          <w:rFonts w:hint="eastAsia" w:ascii="仿宋" w:hAnsi="仿宋" w:eastAsia="仿宋" w:cs="仿宋"/>
          <w:color w:val="000000"/>
          <w:szCs w:val="32"/>
          <w:u w:val="single"/>
        </w:rPr>
        <w:t xml:space="preserve">     </w:t>
      </w:r>
      <w:r>
        <w:rPr>
          <w:rFonts w:hint="eastAsia" w:ascii="仿宋" w:hAnsi="仿宋" w:eastAsia="仿宋" w:cs="仿宋"/>
          <w:color w:val="000000"/>
          <w:szCs w:val="32"/>
        </w:rPr>
        <w:t>社区</w:t>
      </w:r>
    </w:p>
    <w:p w14:paraId="185A1C82">
      <w:pPr>
        <w:kinsoku w:val="0"/>
        <w:overflowPunct w:val="0"/>
        <w:spacing w:line="600" w:lineRule="exact"/>
        <w:rPr>
          <w:rFonts w:ascii="仿宋_GB2312"/>
          <w:color w:val="000000"/>
          <w:szCs w:val="32"/>
        </w:rPr>
      </w:pPr>
      <w:r>
        <w:rPr>
          <w:rFonts w:hint="eastAsia" w:ascii="仿宋" w:hAnsi="仿宋" w:eastAsia="仿宋" w:cs="仿宋"/>
          <w:color w:val="000000"/>
          <w:szCs w:val="32"/>
        </w:rPr>
        <w:t>（村）</w:t>
      </w:r>
      <w:r>
        <w:rPr>
          <w:rFonts w:hint="eastAsia" w:ascii="仿宋" w:hAnsi="仿宋" w:eastAsia="仿宋" w:cs="仿宋"/>
          <w:color w:val="000000"/>
          <w:szCs w:val="32"/>
          <w:u w:val="single"/>
        </w:rPr>
        <w:t xml:space="preserve">       </w:t>
      </w:r>
      <w:r>
        <w:rPr>
          <w:rFonts w:hint="eastAsia" w:ascii="仿宋" w:hAnsi="仿宋" w:eastAsia="仿宋" w:cs="仿宋"/>
          <w:color w:val="000000"/>
          <w:szCs w:val="32"/>
        </w:rPr>
        <w:t xml:space="preserve">号 </w:t>
      </w:r>
      <w:r>
        <w:rPr>
          <w:rFonts w:hint="eastAsia" w:ascii="仿宋" w:hAnsi="仿宋" w:eastAsia="仿宋" w:cs="仿宋"/>
          <w:color w:val="000000"/>
          <w:szCs w:val="32"/>
          <w:u w:val="single"/>
        </w:rPr>
        <w:t xml:space="preserve">       </w:t>
      </w:r>
    </w:p>
    <w:p w14:paraId="1F47B1B0">
      <w:pPr>
        <w:spacing w:line="600" w:lineRule="exact"/>
        <w:ind w:firstLine="640" w:firstLineChars="200"/>
        <w:rPr>
          <w:rFonts w:ascii="仿宋_GB2312"/>
          <w:color w:val="000000"/>
          <w:szCs w:val="32"/>
        </w:rPr>
      </w:pPr>
      <w:r>
        <w:rPr>
          <w:rFonts w:hint="eastAsia" w:ascii="仿宋_GB2312" w:cs="仿宋_GB2312"/>
          <w:color w:val="000000"/>
          <w:szCs w:val="32"/>
        </w:rPr>
        <w:t>占地面积:</w:t>
      </w:r>
      <w:r>
        <w:rPr>
          <w:rFonts w:hint="eastAsia" w:ascii="仿宋" w:hAnsi="仿宋" w:eastAsia="仿宋" w:cs="仿宋"/>
          <w:color w:val="000000"/>
          <w:szCs w:val="32"/>
          <w:u w:val="single"/>
        </w:rPr>
        <w:t xml:space="preserve">                                   </w:t>
      </w:r>
    </w:p>
    <w:p w14:paraId="74FDE189">
      <w:pPr>
        <w:spacing w:line="600" w:lineRule="exact"/>
        <w:ind w:firstLine="640" w:firstLineChars="200"/>
        <w:rPr>
          <w:rFonts w:ascii="仿宋_GB2312" w:hAnsi="新宋体" w:cs="宋体"/>
          <w:color w:val="000000"/>
          <w:kern w:val="0"/>
          <w:szCs w:val="32"/>
        </w:rPr>
      </w:pPr>
      <w:r>
        <w:rPr>
          <w:rFonts w:hint="eastAsia" w:ascii="仿宋_GB2312" w:hAnsi="宋体" w:cs="仿宋_GB2312"/>
          <w:color w:val="000000"/>
          <w:kern w:val="0"/>
          <w:szCs w:val="32"/>
        </w:rPr>
        <w:t>总建筑面积:</w:t>
      </w:r>
      <w:r>
        <w:rPr>
          <w:rFonts w:hint="eastAsia" w:ascii="仿宋" w:hAnsi="仿宋" w:eastAsia="仿宋" w:cs="仿宋"/>
          <w:color w:val="000000"/>
          <w:kern w:val="0"/>
          <w:szCs w:val="32"/>
          <w:u w:val="single"/>
        </w:rPr>
        <w:t xml:space="preserve">                                 </w:t>
      </w:r>
    </w:p>
    <w:p w14:paraId="5B5635F9">
      <w:pPr>
        <w:spacing w:line="600" w:lineRule="exact"/>
        <w:ind w:firstLine="640" w:firstLineChars="200"/>
        <w:rPr>
          <w:rFonts w:ascii="新宋体" w:hAnsi="新宋体" w:cs="宋体"/>
          <w:color w:val="000000"/>
          <w:kern w:val="0"/>
          <w:szCs w:val="32"/>
        </w:rPr>
      </w:pPr>
      <w:r>
        <w:rPr>
          <w:rFonts w:hint="eastAsia" w:ascii="仿宋_GB2312" w:cs="仿宋_GB2312"/>
          <w:color w:val="000000"/>
          <w:szCs w:val="32"/>
        </w:rPr>
        <w:t>总 栋 数:</w:t>
      </w:r>
      <w:r>
        <w:rPr>
          <w:rFonts w:hint="eastAsia" w:ascii="仿宋" w:hAnsi="仿宋" w:eastAsia="仿宋" w:cs="仿宋"/>
          <w:color w:val="000000"/>
          <w:kern w:val="0"/>
          <w:szCs w:val="32"/>
          <w:u w:val="single"/>
        </w:rPr>
        <w:t xml:space="preserve">                                   </w:t>
      </w:r>
    </w:p>
    <w:p w14:paraId="1CEA9BF3">
      <w:pPr>
        <w:spacing w:line="600" w:lineRule="exact"/>
        <w:ind w:firstLine="640" w:firstLineChars="200"/>
        <w:rPr>
          <w:rFonts w:ascii="仿宋_GB2312" w:cs="仿宋_GB2312"/>
          <w:color w:val="000000"/>
          <w:szCs w:val="32"/>
        </w:rPr>
      </w:pPr>
      <w:r>
        <w:rPr>
          <w:rFonts w:hint="eastAsia" w:ascii="仿宋_GB2312" w:cs="仿宋_GB2312"/>
          <w:color w:val="000000"/>
          <w:szCs w:val="32"/>
        </w:rPr>
        <w:t>总 户 数：</w:t>
      </w:r>
      <w:r>
        <w:rPr>
          <w:rFonts w:hint="eastAsia" w:ascii="仿宋_GB2312" w:cs="仿宋_GB2312"/>
          <w:color w:val="000000"/>
          <w:szCs w:val="32"/>
          <w:u w:val="single"/>
        </w:rPr>
        <w:t xml:space="preserve">                                  </w:t>
      </w:r>
    </w:p>
    <w:p w14:paraId="00E4D85B">
      <w:pPr>
        <w:spacing w:line="600" w:lineRule="exact"/>
        <w:ind w:firstLine="640" w:firstLineChars="200"/>
        <w:rPr>
          <w:rFonts w:ascii="仿宋_GB2312" w:hAnsi="宋体" w:cs="仿宋_GB2312"/>
          <w:color w:val="000000"/>
          <w:kern w:val="0"/>
          <w:szCs w:val="32"/>
          <w:lang w:bidi="ar"/>
        </w:rPr>
      </w:pPr>
      <w:r>
        <w:rPr>
          <w:rFonts w:hint="eastAsia" w:ascii="仿宋_GB2312" w:hAnsi="宋体" w:cs="仿宋_GB2312"/>
          <w:color w:val="000000"/>
          <w:kern w:val="0"/>
          <w:szCs w:val="32"/>
          <w:lang w:bidi="ar"/>
        </w:rPr>
        <w:t>车库（位）数量：</w:t>
      </w:r>
    </w:p>
    <w:p w14:paraId="18A16F82">
      <w:pPr>
        <w:spacing w:line="600" w:lineRule="exact"/>
        <w:ind w:firstLine="640" w:firstLineChars="200"/>
        <w:rPr>
          <w:rFonts w:ascii="仿宋" w:hAnsi="仿宋" w:eastAsia="仿宋" w:cs="仿宋"/>
          <w:color w:val="000000"/>
          <w:kern w:val="0"/>
          <w:szCs w:val="32"/>
          <w:u w:val="single"/>
        </w:rPr>
      </w:pPr>
      <w:r>
        <w:rPr>
          <w:rFonts w:hint="eastAsia" w:ascii="仿宋_GB2312" w:hAnsi="宋体" w:cs="仿宋_GB2312"/>
          <w:color w:val="000000"/>
          <w:kern w:val="0"/>
          <w:szCs w:val="32"/>
          <w:lang w:bidi="ar"/>
        </w:rPr>
        <w:t>其中：规划地上车库（位）数量：</w:t>
      </w:r>
      <w:r>
        <w:rPr>
          <w:rFonts w:hint="eastAsia" w:ascii="仿宋" w:hAnsi="仿宋" w:eastAsia="仿宋" w:cs="仿宋"/>
          <w:color w:val="000000"/>
          <w:kern w:val="0"/>
          <w:szCs w:val="32"/>
          <w:u w:val="single"/>
        </w:rPr>
        <w:t xml:space="preserve">      </w:t>
      </w:r>
      <w:r>
        <w:rPr>
          <w:rFonts w:ascii="仿宋_GB2312" w:hAnsi="宋体" w:cs="仿宋_GB2312"/>
          <w:color w:val="000000"/>
          <w:kern w:val="0"/>
          <w:szCs w:val="32"/>
        </w:rPr>
        <w:t>个</w:t>
      </w:r>
    </w:p>
    <w:p w14:paraId="5C959341">
      <w:pPr>
        <w:spacing w:line="600" w:lineRule="exact"/>
        <w:ind w:firstLine="640" w:firstLineChars="200"/>
        <w:rPr>
          <w:rFonts w:ascii="仿宋" w:hAnsi="仿宋" w:eastAsia="仿宋" w:cs="仿宋"/>
          <w:color w:val="000000"/>
          <w:kern w:val="0"/>
          <w:szCs w:val="32"/>
          <w:u w:val="single"/>
        </w:rPr>
      </w:pPr>
      <w:r>
        <w:rPr>
          <w:rFonts w:ascii="仿宋_GB2312" w:hAnsi="宋体" w:cs="仿宋_GB2312"/>
          <w:color w:val="000000"/>
          <w:kern w:val="0"/>
          <w:szCs w:val="32"/>
          <w:lang w:bidi="ar"/>
        </w:rPr>
        <w:t>规划地下车库（位）数量：</w:t>
      </w:r>
      <w:r>
        <w:rPr>
          <w:rFonts w:hint="eastAsia" w:ascii="仿宋" w:hAnsi="仿宋" w:eastAsia="仿宋" w:cs="仿宋"/>
          <w:color w:val="000000"/>
          <w:kern w:val="0"/>
          <w:szCs w:val="32"/>
          <w:u w:val="single"/>
        </w:rPr>
        <w:t xml:space="preserve">       </w:t>
      </w:r>
      <w:r>
        <w:rPr>
          <w:rFonts w:ascii="仿宋_GB2312" w:hAnsi="宋体" w:cs="仿宋_GB2312"/>
          <w:color w:val="000000"/>
          <w:kern w:val="0"/>
          <w:szCs w:val="32"/>
        </w:rPr>
        <w:t>个</w:t>
      </w:r>
    </w:p>
    <w:p w14:paraId="60EA3498">
      <w:pPr>
        <w:spacing w:line="600" w:lineRule="exact"/>
        <w:ind w:firstLine="640" w:firstLineChars="200"/>
        <w:rPr>
          <w:rFonts w:ascii="仿宋" w:hAnsi="仿宋" w:eastAsia="仿宋" w:cs="仿宋"/>
          <w:color w:val="000000"/>
          <w:szCs w:val="32"/>
          <w:u w:val="single"/>
        </w:rPr>
      </w:pPr>
      <w:r>
        <w:rPr>
          <w:rFonts w:ascii="仿宋_GB2312" w:hAnsi="宋体" w:cs="仿宋_GB2312"/>
          <w:color w:val="000000"/>
          <w:kern w:val="0"/>
          <w:szCs w:val="32"/>
          <w:lang w:bidi="ar"/>
        </w:rPr>
        <w:t>利用</w:t>
      </w:r>
      <w:r>
        <w:rPr>
          <w:rFonts w:hint="eastAsia" w:ascii="仿宋_GB2312" w:hAnsi="宋体" w:cs="仿宋_GB2312"/>
          <w:color w:val="000000"/>
          <w:kern w:val="0"/>
          <w:szCs w:val="32"/>
          <w:lang w:bidi="ar"/>
        </w:rPr>
        <w:t>业主共有部分</w:t>
      </w:r>
      <w:r>
        <w:rPr>
          <w:rFonts w:ascii="仿宋_GB2312" w:hAnsi="宋体" w:cs="仿宋_GB2312"/>
          <w:color w:val="000000"/>
          <w:kern w:val="0"/>
          <w:szCs w:val="32"/>
          <w:lang w:bidi="ar"/>
        </w:rPr>
        <w:t>设立车位数量：</w:t>
      </w:r>
      <w:r>
        <w:rPr>
          <w:rFonts w:hint="eastAsia" w:ascii="仿宋" w:hAnsi="仿宋" w:eastAsia="仿宋" w:cs="仿宋"/>
          <w:color w:val="000000"/>
          <w:szCs w:val="32"/>
          <w:u w:val="single"/>
        </w:rPr>
        <w:t xml:space="preserve">      </w:t>
      </w:r>
      <w:r>
        <w:rPr>
          <w:rFonts w:ascii="仿宋_GB2312" w:hAnsi="宋体" w:cs="仿宋_GB2312"/>
          <w:color w:val="000000"/>
          <w:szCs w:val="32"/>
        </w:rPr>
        <w:t>个</w:t>
      </w:r>
    </w:p>
    <w:p w14:paraId="1342F4A8">
      <w:pPr>
        <w:spacing w:line="600" w:lineRule="exact"/>
        <w:ind w:firstLine="640" w:firstLineChars="200"/>
        <w:rPr>
          <w:rFonts w:ascii="仿宋_GB2312" w:hAnsi="宋体" w:cs="仿宋_GB2312"/>
          <w:color w:val="000000"/>
          <w:kern w:val="0"/>
          <w:szCs w:val="32"/>
          <w:lang w:bidi="ar"/>
        </w:rPr>
      </w:pPr>
      <w:r>
        <w:rPr>
          <w:rFonts w:ascii="仿宋_GB2312" w:hAnsi="宋体" w:cs="仿宋_GB2312"/>
          <w:color w:val="000000"/>
          <w:szCs w:val="32"/>
        </w:rPr>
        <w:t>人防设施可用于业主停放机动车的停车位</w:t>
      </w:r>
      <w:r>
        <w:rPr>
          <w:rFonts w:ascii="仿宋_GB2312" w:hAnsi="宋体" w:cs="仿宋_GB2312"/>
          <w:color w:val="000000"/>
          <w:kern w:val="0"/>
          <w:szCs w:val="32"/>
          <w:lang w:bidi="ar"/>
        </w:rPr>
        <w:t>数量：</w:t>
      </w:r>
      <w:r>
        <w:rPr>
          <w:rFonts w:hint="eastAsia" w:ascii="仿宋_GB2312" w:hAnsi="宋体" w:cs="仿宋_GB2312"/>
          <w:color w:val="000000"/>
          <w:szCs w:val="32"/>
          <w:u w:val="single"/>
        </w:rPr>
        <w:t xml:space="preserve">   </w:t>
      </w:r>
      <w:r>
        <w:rPr>
          <w:rFonts w:ascii="仿宋_GB2312" w:hAnsi="宋体" w:cs="仿宋_GB2312"/>
          <w:color w:val="000000"/>
          <w:szCs w:val="32"/>
        </w:rPr>
        <w:t>个</w:t>
      </w:r>
    </w:p>
    <w:p w14:paraId="116CCBD7">
      <w:pPr>
        <w:spacing w:line="600" w:lineRule="exact"/>
        <w:ind w:firstLine="640" w:firstLineChars="200"/>
        <w:rPr>
          <w:color w:val="000000"/>
          <w:szCs w:val="32"/>
        </w:rPr>
      </w:pPr>
      <w:r>
        <w:rPr>
          <w:rFonts w:ascii="仿宋_GB2312" w:hAnsi="宋体" w:cs="仿宋_GB2312"/>
          <w:color w:val="000000"/>
          <w:kern w:val="0"/>
          <w:szCs w:val="32"/>
          <w:lang w:bidi="ar"/>
        </w:rPr>
        <w:t>可计收物业服务费建筑面积：</w:t>
      </w:r>
      <w:r>
        <w:rPr>
          <w:rFonts w:hint="eastAsia" w:ascii="仿宋" w:hAnsi="仿宋" w:eastAsia="仿宋" w:cs="仿宋"/>
          <w:color w:val="000000"/>
          <w:szCs w:val="32"/>
          <w:u w:val="single"/>
        </w:rPr>
        <w:t xml:space="preserve">                     </w:t>
      </w:r>
    </w:p>
    <w:p w14:paraId="43345F1E">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物业服务区域四至</w:t>
      </w:r>
      <w:r>
        <w:rPr>
          <w:rFonts w:ascii="仿宋_GB2312" w:hAnsi="宋体" w:cs="仿宋_GB2312"/>
          <w:color w:val="000000"/>
          <w:szCs w:val="32"/>
        </w:rPr>
        <w:t>:</w:t>
      </w:r>
    </w:p>
    <w:p w14:paraId="1EE5B536">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东至：</w:t>
      </w:r>
      <w:r>
        <w:rPr>
          <w:rFonts w:hint="eastAsia" w:ascii="仿宋" w:hAnsi="仿宋" w:eastAsia="仿宋" w:cs="仿宋"/>
          <w:color w:val="000000"/>
          <w:szCs w:val="32"/>
          <w:u w:val="single"/>
        </w:rPr>
        <w:t xml:space="preserve">                </w:t>
      </w:r>
      <w:r>
        <w:rPr>
          <w:rFonts w:hint="eastAsia" w:ascii="仿宋" w:hAnsi="仿宋" w:eastAsia="仿宋" w:cs="仿宋"/>
          <w:color w:val="000000"/>
          <w:szCs w:val="32"/>
        </w:rPr>
        <w:t>；</w:t>
      </w:r>
      <w:r>
        <w:rPr>
          <w:rFonts w:hint="eastAsia" w:ascii="仿宋_GB2312" w:hAnsi="宋体" w:cs="仿宋_GB2312"/>
          <w:color w:val="000000"/>
          <w:szCs w:val="32"/>
        </w:rPr>
        <w:t>南至：</w:t>
      </w:r>
      <w:r>
        <w:rPr>
          <w:rFonts w:hint="eastAsia" w:ascii="仿宋" w:hAnsi="仿宋" w:eastAsia="仿宋" w:cs="仿宋"/>
          <w:color w:val="000000"/>
          <w:szCs w:val="32"/>
          <w:u w:val="single"/>
        </w:rPr>
        <w:t xml:space="preserve">                 </w:t>
      </w:r>
      <w:r>
        <w:rPr>
          <w:rFonts w:hint="eastAsia" w:ascii="仿宋" w:hAnsi="仿宋" w:eastAsia="仿宋" w:cs="仿宋"/>
          <w:color w:val="000000"/>
          <w:szCs w:val="32"/>
        </w:rPr>
        <w:t>;</w:t>
      </w:r>
    </w:p>
    <w:p w14:paraId="12AE922D">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西至：</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；北至：</w:t>
      </w:r>
      <w:r>
        <w:rPr>
          <w:rFonts w:hint="eastAsia" w:ascii="仿宋" w:hAnsi="仿宋" w:eastAsia="仿宋" w:cs="仿宋"/>
          <w:color w:val="000000"/>
          <w:szCs w:val="32"/>
          <w:u w:val="single"/>
        </w:rPr>
        <w:t xml:space="preserve">                 </w:t>
      </w:r>
      <w:r>
        <w:rPr>
          <w:rFonts w:hint="eastAsia" w:ascii="仿宋_GB2312" w:hAnsi="宋体" w:cs="仿宋_GB2312"/>
          <w:color w:val="000000"/>
          <w:szCs w:val="32"/>
        </w:rPr>
        <w:t>。</w:t>
      </w:r>
    </w:p>
    <w:p w14:paraId="6749857B">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（规划平面图见附件1，物业服务区域平面图见附件2，物业构成明细见附件3。）</w:t>
      </w:r>
    </w:p>
    <w:p w14:paraId="010E53E6">
      <w:pPr>
        <w:snapToGrid w:val="0"/>
        <w:spacing w:line="600" w:lineRule="exact"/>
        <w:ind w:firstLine="640" w:firstLineChars="200"/>
        <w:rPr>
          <w:rFonts w:ascii="仿宋_GB2312" w:hAnsi="宋体"/>
          <w:color w:val="000000"/>
          <w:kern w:val="0"/>
          <w:szCs w:val="32"/>
        </w:rPr>
      </w:pPr>
      <w:r>
        <w:rPr>
          <w:rFonts w:hint="eastAsia" w:ascii="黑体" w:hAnsi="黑体" w:eastAsia="黑体" w:cs="黑体"/>
          <w:color w:val="000000"/>
          <w:szCs w:val="32"/>
        </w:rPr>
        <w:t xml:space="preserve">第二条  </w:t>
      </w:r>
      <w:r>
        <w:rPr>
          <w:rFonts w:hint="eastAsia" w:ascii="仿宋_GB2312" w:hAnsi="宋体" w:cs="仿宋_GB2312"/>
          <w:color w:val="000000"/>
          <w:kern w:val="0"/>
          <w:szCs w:val="32"/>
        </w:rPr>
        <w:t>物业服务用房属全体业主所有，</w:t>
      </w:r>
      <w:r>
        <w:rPr>
          <w:rFonts w:hint="eastAsia" w:ascii="仿宋_GB2312" w:hAnsi="仿宋_GB2312" w:cs="仿宋_GB2312"/>
          <w:color w:val="000000"/>
          <w:szCs w:val="32"/>
          <w:shd w:val="clear" w:color="auto" w:fill="FFFFFF"/>
        </w:rPr>
        <w:t>乙方</w:t>
      </w:r>
      <w:r>
        <w:rPr>
          <w:rFonts w:hint="eastAsia" w:ascii="仿宋_GB2312" w:hAnsi="宋体" w:cs="仿宋_GB2312"/>
          <w:color w:val="000000"/>
          <w:kern w:val="0"/>
          <w:szCs w:val="32"/>
        </w:rPr>
        <w:t>负责物业服务用房的维修、养护，不得买卖和抵押；未经业主大会同意，乙方不得改变物业服务用房的用途。</w:t>
      </w:r>
    </w:p>
    <w:p w14:paraId="6EEB6494">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物业服务用房建筑面积为</w:t>
      </w:r>
      <w:r>
        <w:rPr>
          <w:rFonts w:hint="eastAsia" w:ascii="仿宋_GB2312"/>
          <w:color w:val="000000"/>
          <w:szCs w:val="32"/>
          <w:u w:val="single"/>
        </w:rPr>
        <w:t xml:space="preserve">    </w:t>
      </w:r>
      <w:r>
        <w:rPr>
          <w:rFonts w:hint="eastAsia" w:ascii="仿宋_GB2312" w:hAnsi="宋体" w:cs="仿宋_GB2312"/>
          <w:color w:val="000000"/>
          <w:szCs w:val="32"/>
        </w:rPr>
        <w:t>平方米，位于</w:t>
      </w:r>
      <w:r>
        <w:rPr>
          <w:rFonts w:hint="eastAsia" w:ascii="仿宋_GB2312"/>
          <w:color w:val="000000"/>
          <w:szCs w:val="32"/>
          <w:u w:val="single"/>
        </w:rPr>
        <w:t xml:space="preserve">    </w:t>
      </w:r>
      <w:r>
        <w:rPr>
          <w:rFonts w:hint="eastAsia" w:ascii="仿宋_GB2312" w:hAnsi="宋体" w:cs="仿宋_GB2312"/>
          <w:color w:val="000000"/>
          <w:szCs w:val="32"/>
        </w:rPr>
        <w:t>[号楼][幢][座]</w:t>
      </w:r>
      <w:r>
        <w:rPr>
          <w:rFonts w:hint="eastAsia" w:ascii="仿宋_GB2312"/>
          <w:color w:val="000000"/>
          <w:szCs w:val="32"/>
          <w:u w:val="single"/>
        </w:rPr>
        <w:t xml:space="preserve">    </w:t>
      </w:r>
      <w:r>
        <w:rPr>
          <w:rFonts w:hint="eastAsia" w:ascii="仿宋_GB2312" w:hAnsi="宋体" w:cs="仿宋_GB2312"/>
          <w:color w:val="000000"/>
          <w:szCs w:val="32"/>
        </w:rPr>
        <w:t>单元</w:t>
      </w:r>
      <w:r>
        <w:rPr>
          <w:rFonts w:hint="eastAsia" w:ascii="仿宋_GB2312"/>
          <w:color w:val="000000"/>
          <w:szCs w:val="32"/>
          <w:u w:val="single"/>
        </w:rPr>
        <w:t xml:space="preserve">    </w:t>
      </w:r>
      <w:r>
        <w:rPr>
          <w:rFonts w:hint="eastAsia" w:ascii="仿宋_GB2312" w:hAnsi="宋体" w:cs="仿宋_GB2312"/>
          <w:color w:val="000000"/>
          <w:szCs w:val="32"/>
        </w:rPr>
        <w:t>层</w:t>
      </w:r>
      <w:r>
        <w:rPr>
          <w:rFonts w:hint="eastAsia" w:ascii="仿宋_GB2312"/>
          <w:color w:val="000000"/>
          <w:szCs w:val="32"/>
          <w:u w:val="single"/>
        </w:rPr>
        <w:t xml:space="preserve">    </w:t>
      </w:r>
      <w:r>
        <w:rPr>
          <w:rFonts w:hint="eastAsia" w:ascii="仿宋_GB2312" w:hAnsi="宋体" w:cs="仿宋_GB2312"/>
          <w:color w:val="000000"/>
          <w:szCs w:val="32"/>
        </w:rPr>
        <w:t>号。</w:t>
      </w:r>
    </w:p>
    <w:p w14:paraId="48186E91">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其中：业主委员会办公用房建筑面积为</w:t>
      </w:r>
      <w:r>
        <w:rPr>
          <w:rFonts w:hint="eastAsia" w:ascii="仿宋_GB2312"/>
          <w:color w:val="000000"/>
          <w:szCs w:val="32"/>
          <w:u w:val="single"/>
        </w:rPr>
        <w:t xml:space="preserve">    </w:t>
      </w:r>
      <w:r>
        <w:rPr>
          <w:rFonts w:hint="eastAsia" w:ascii="仿宋_GB2312" w:hAnsi="宋体" w:cs="仿宋_GB2312"/>
          <w:color w:val="000000"/>
          <w:szCs w:val="32"/>
        </w:rPr>
        <w:t>平方米，位于</w:t>
      </w:r>
      <w:r>
        <w:rPr>
          <w:rFonts w:hint="eastAsia" w:ascii="仿宋_GB2312"/>
          <w:color w:val="000000"/>
          <w:szCs w:val="32"/>
          <w:u w:val="single"/>
        </w:rPr>
        <w:t xml:space="preserve">    </w:t>
      </w:r>
      <w:r>
        <w:rPr>
          <w:rFonts w:hint="eastAsia" w:ascii="仿宋_GB2312" w:hAnsi="宋体" w:cs="仿宋_GB2312"/>
          <w:color w:val="000000"/>
          <w:szCs w:val="32"/>
        </w:rPr>
        <w:t xml:space="preserve">[号楼][幢][座] </w:t>
      </w:r>
      <w:r>
        <w:rPr>
          <w:rFonts w:hint="eastAsia" w:ascii="仿宋_GB2312"/>
          <w:color w:val="000000"/>
          <w:szCs w:val="32"/>
          <w:u w:val="single"/>
        </w:rPr>
        <w:t xml:space="preserve">    </w:t>
      </w:r>
      <w:r>
        <w:rPr>
          <w:rFonts w:hint="eastAsia" w:ascii="仿宋_GB2312" w:hAnsi="宋体" w:cs="仿宋_GB2312"/>
          <w:color w:val="000000"/>
          <w:szCs w:val="32"/>
        </w:rPr>
        <w:t>单元</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层</w:t>
      </w:r>
      <w:r>
        <w:rPr>
          <w:rFonts w:hint="eastAsia" w:ascii="仿宋_GB2312"/>
          <w:color w:val="000000"/>
          <w:szCs w:val="32"/>
          <w:u w:val="single"/>
        </w:rPr>
        <w:t xml:space="preserve">    </w:t>
      </w:r>
      <w:r>
        <w:rPr>
          <w:rFonts w:hint="eastAsia" w:ascii="仿宋_GB2312" w:hAnsi="宋体" w:cs="仿宋_GB2312"/>
          <w:color w:val="000000"/>
          <w:szCs w:val="32"/>
        </w:rPr>
        <w:t>号。（注：物业服务用房为多处时，双方可自行增加以上内容。）</w:t>
      </w:r>
    </w:p>
    <w:p w14:paraId="124F929A">
      <w:pPr>
        <w:spacing w:line="600" w:lineRule="exact"/>
        <w:ind w:firstLine="640" w:firstLineChars="200"/>
        <w:rPr>
          <w:color w:val="000000"/>
          <w:szCs w:val="32"/>
        </w:rPr>
      </w:pPr>
    </w:p>
    <w:p w14:paraId="23B07BD2">
      <w:pPr>
        <w:spacing w:line="600" w:lineRule="exact"/>
        <w:jc w:val="center"/>
        <w:rPr>
          <w:rFonts w:ascii="黑体" w:hAnsi="黑体" w:eastAsia="黑体" w:cs="黑体"/>
          <w:color w:val="000000"/>
          <w:szCs w:val="32"/>
        </w:rPr>
      </w:pPr>
      <w:r>
        <w:rPr>
          <w:rFonts w:ascii="黑体" w:hAnsi="黑体" w:eastAsia="黑体" w:cs="黑体"/>
          <w:color w:val="000000"/>
          <w:szCs w:val="32"/>
        </w:rPr>
        <w:t>第</w:t>
      </w:r>
      <w:r>
        <w:rPr>
          <w:rFonts w:hint="eastAsia" w:ascii="黑体" w:hAnsi="黑体" w:eastAsia="黑体" w:cs="黑体"/>
          <w:color w:val="000000"/>
          <w:szCs w:val="32"/>
        </w:rPr>
        <w:t>二</w:t>
      </w:r>
      <w:r>
        <w:rPr>
          <w:rFonts w:ascii="黑体" w:hAnsi="黑体" w:eastAsia="黑体" w:cs="黑体"/>
          <w:color w:val="000000"/>
          <w:szCs w:val="32"/>
        </w:rPr>
        <w:t>章</w:t>
      </w:r>
      <w:r>
        <w:rPr>
          <w:rFonts w:hint="eastAsia" w:ascii="黑体" w:hAnsi="黑体" w:eastAsia="黑体" w:cs="黑体"/>
          <w:color w:val="000000"/>
          <w:szCs w:val="32"/>
        </w:rPr>
        <w:t xml:space="preserve">  物业服务事项内容</w:t>
      </w:r>
    </w:p>
    <w:p w14:paraId="4532AAAA">
      <w:pPr>
        <w:snapToGrid w:val="0"/>
        <w:spacing w:line="600" w:lineRule="exact"/>
        <w:ind w:firstLine="640" w:firstLineChars="200"/>
        <w:rPr>
          <w:rFonts w:ascii="黑体" w:hAnsi="黑体" w:eastAsia="黑体"/>
          <w:color w:val="000000"/>
          <w:szCs w:val="32"/>
        </w:rPr>
      </w:pPr>
      <w:r>
        <w:rPr>
          <w:rFonts w:hint="eastAsia" w:ascii="黑体" w:hAnsi="黑体" w:eastAsia="黑体" w:cs="黑体"/>
          <w:color w:val="000000"/>
          <w:szCs w:val="32"/>
        </w:rPr>
        <w:t xml:space="preserve">第三条  </w:t>
      </w:r>
      <w:r>
        <w:rPr>
          <w:rFonts w:hint="eastAsia" w:ascii="仿宋_GB2312" w:hAnsi="宋体" w:cs="仿宋_GB2312"/>
          <w:color w:val="000000"/>
          <w:szCs w:val="32"/>
        </w:rPr>
        <w:t>乙方提供的物业服务内容包括：</w:t>
      </w:r>
    </w:p>
    <w:p w14:paraId="2D7F3D7E">
      <w:pPr>
        <w:snapToGrid w:val="0"/>
        <w:spacing w:line="600" w:lineRule="exact"/>
        <w:ind w:firstLine="640" w:firstLineChars="200"/>
        <w:rPr>
          <w:rFonts w:ascii="黑体" w:hAnsi="黑体" w:eastAsia="黑体"/>
          <w:color w:val="000000"/>
          <w:szCs w:val="32"/>
        </w:rPr>
      </w:pPr>
      <w:r>
        <w:rPr>
          <w:rFonts w:hint="eastAsia" w:ascii="仿宋_GB2312" w:hAnsi="宋体" w:cs="仿宋_GB2312"/>
          <w:color w:val="000000"/>
          <w:szCs w:val="32"/>
        </w:rPr>
        <w:t>（一）物业共有部分的日常养护和管理；（物业共有部分明细见附件4）</w:t>
      </w:r>
    </w:p>
    <w:p w14:paraId="05169734">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（二）物业公用设施的日常运行、养护和管理，依法应当由供水、供电、供气、供热、通信、有线电视、宽带数据传输等专业经营单位维护、管理的除外；（物业公用设施明细见附件5）</w:t>
      </w:r>
    </w:p>
    <w:p w14:paraId="0B0C2589">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（三）物业共有部分和相关场地的清洁卫生，垃圾的收集、清运及雨、污水管道（不含业主户内管道）的疏通；</w:t>
      </w:r>
    </w:p>
    <w:p w14:paraId="6E1D1D61">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（四）公共绿地、花木、建筑小品的养护与管理；</w:t>
      </w:r>
    </w:p>
    <w:p w14:paraId="60049294">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（五）车辆停放管理和停车服务；</w:t>
      </w:r>
    </w:p>
    <w:p w14:paraId="0F0DCBEB">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（六）公共秩序维护、安全防范等事项的协助管理；</w:t>
      </w:r>
    </w:p>
    <w:p w14:paraId="1F2A25BA">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（七）装饰装修管理服务；</w:t>
      </w:r>
    </w:p>
    <w:p w14:paraId="50B4AEBB">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（八）物业档案资料管理；</w:t>
      </w:r>
    </w:p>
    <w:p w14:paraId="0DA74E3F">
      <w:pPr>
        <w:snapToGrid w:val="0"/>
        <w:spacing w:line="600" w:lineRule="exact"/>
        <w:ind w:firstLine="640" w:firstLineChars="200"/>
        <w:rPr>
          <w:rFonts w:ascii="仿宋_GB2312" w:hAnsi="仿宋_GB2312" w:cs="仿宋_GB2312"/>
          <w:color w:val="000000"/>
          <w:szCs w:val="32"/>
        </w:rPr>
      </w:pPr>
      <w:r>
        <w:rPr>
          <w:rFonts w:hint="eastAsia" w:ascii="仿宋_GB2312" w:hAnsi="宋体" w:cs="仿宋_GB2312"/>
          <w:color w:val="000000"/>
          <w:szCs w:val="32"/>
        </w:rPr>
        <w:t>（九）法律、法规规定应由乙方提供的其他服务事项；</w:t>
      </w:r>
    </w:p>
    <w:p w14:paraId="2A7CCD14">
      <w:pPr>
        <w:snapToGrid w:val="0"/>
        <w:spacing w:line="600" w:lineRule="exact"/>
        <w:ind w:firstLine="640" w:firstLineChars="200"/>
        <w:rPr>
          <w:rFonts w:ascii="黑体" w:hAnsi="黑体" w:eastAsia="黑体" w:cs="黑体"/>
          <w:color w:val="000000"/>
          <w:szCs w:val="32"/>
        </w:rPr>
      </w:pPr>
      <w:r>
        <w:rPr>
          <w:rFonts w:hint="eastAsia" w:ascii="仿宋_GB2312" w:hAnsi="仿宋_GB2312" w:cs="仿宋_GB2312"/>
          <w:color w:val="000000"/>
          <w:szCs w:val="32"/>
        </w:rPr>
        <w:t>（十）其他服务事项：</w:t>
      </w:r>
      <w:r>
        <w:rPr>
          <w:rFonts w:hint="eastAsia" w:ascii="仿宋_GB2312"/>
          <w:color w:val="000000"/>
          <w:szCs w:val="32"/>
          <w:u w:val="single"/>
        </w:rPr>
        <w:t xml:space="preserve">                         </w:t>
      </w:r>
      <w:r>
        <w:rPr>
          <w:rFonts w:hint="eastAsia" w:ascii="仿宋_GB2312"/>
          <w:color w:val="000000"/>
          <w:szCs w:val="32"/>
        </w:rPr>
        <w:t xml:space="preserve"> 。</w:t>
      </w:r>
    </w:p>
    <w:p w14:paraId="3CA6B577">
      <w:pPr>
        <w:spacing w:line="600" w:lineRule="exact"/>
        <w:ind w:firstLine="640" w:firstLineChars="200"/>
        <w:rPr>
          <w:rFonts w:ascii="仿宋_GB2312" w:hAnsi="仿宋_GB2312" w:cs="仿宋_GB2312"/>
          <w:color w:val="000000"/>
          <w:szCs w:val="32"/>
        </w:rPr>
      </w:pPr>
      <w:r>
        <w:rPr>
          <w:rFonts w:hint="eastAsia" w:ascii="黑体" w:hAnsi="黑体" w:eastAsia="黑体" w:cs="黑体"/>
          <w:color w:val="000000"/>
          <w:szCs w:val="32"/>
        </w:rPr>
        <w:t xml:space="preserve">第四条  </w:t>
      </w:r>
      <w:r>
        <w:rPr>
          <w:rFonts w:hint="eastAsia" w:ascii="仿宋_GB2312" w:hAnsi="仿宋_GB2312" w:cs="仿宋_GB2312"/>
          <w:color w:val="000000"/>
          <w:szCs w:val="32"/>
        </w:rPr>
        <w:t>乙方可以将下列第</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项专业服务业务委托依法设立的第三方专业性服务企业提供服务，并督促其按相关标准提供服务：</w:t>
      </w:r>
    </w:p>
    <w:p w14:paraId="011BC849">
      <w:pPr>
        <w:spacing w:line="600" w:lineRule="exact"/>
        <w:ind w:firstLine="640" w:firstLineChars="200"/>
        <w:outlineLvl w:val="1"/>
        <w:rPr>
          <w:rFonts w:ascii="仿宋_GB2312" w:hAnsi="仿宋_GB2312" w:cs="仿宋_GB2312"/>
          <w:color w:val="000000"/>
          <w:szCs w:val="32"/>
        </w:rPr>
      </w:pPr>
      <w:r>
        <w:rPr>
          <w:rFonts w:hint="eastAsia" w:ascii="仿宋_GB2312" w:hAnsi="仿宋_GB2312" w:cs="仿宋_GB2312"/>
          <w:color w:val="000000"/>
          <w:szCs w:val="32"/>
        </w:rPr>
        <w:t>（一）保洁服务；</w:t>
      </w:r>
    </w:p>
    <w:p w14:paraId="0AA513A8">
      <w:pPr>
        <w:spacing w:line="600" w:lineRule="exact"/>
        <w:ind w:firstLine="640" w:firstLineChars="200"/>
        <w:outlineLvl w:val="1"/>
        <w:rPr>
          <w:rFonts w:ascii="仿宋_GB2312" w:hAnsi="仿宋_GB2312" w:cs="仿宋_GB2312"/>
          <w:color w:val="000000"/>
          <w:szCs w:val="32"/>
        </w:rPr>
      </w:pPr>
      <w:r>
        <w:rPr>
          <w:rFonts w:hint="eastAsia" w:ascii="仿宋_GB2312" w:hAnsi="仿宋_GB2312" w:cs="仿宋_GB2312"/>
          <w:color w:val="000000"/>
          <w:szCs w:val="32"/>
        </w:rPr>
        <w:t>（二）公共秩序维护服务；</w:t>
      </w:r>
    </w:p>
    <w:p w14:paraId="5F4AA97B">
      <w:pPr>
        <w:spacing w:line="600" w:lineRule="exact"/>
        <w:ind w:firstLine="640" w:firstLineChars="200"/>
        <w:outlineLvl w:val="1"/>
        <w:rPr>
          <w:rFonts w:ascii="仿宋_GB2312" w:hAnsi="仿宋_GB2312" w:cs="仿宋_GB2312"/>
          <w:color w:val="000000"/>
          <w:szCs w:val="32"/>
        </w:rPr>
      </w:pPr>
      <w:r>
        <w:rPr>
          <w:rFonts w:hint="eastAsia" w:ascii="仿宋_GB2312" w:hAnsi="仿宋_GB2312" w:cs="仿宋_GB2312"/>
          <w:color w:val="000000"/>
          <w:szCs w:val="32"/>
        </w:rPr>
        <w:t>（三）电梯的日常检查、维护；</w:t>
      </w:r>
    </w:p>
    <w:p w14:paraId="47BFB017">
      <w:pPr>
        <w:spacing w:line="600" w:lineRule="exact"/>
        <w:ind w:firstLine="640" w:firstLineChars="200"/>
        <w:outlineLvl w:val="1"/>
        <w:rPr>
          <w:rFonts w:ascii="仿宋_GB2312" w:hAnsi="仿宋_GB2312" w:cs="仿宋_GB2312"/>
          <w:color w:val="000000"/>
          <w:szCs w:val="32"/>
        </w:rPr>
      </w:pPr>
      <w:r>
        <w:rPr>
          <w:rFonts w:hint="eastAsia" w:ascii="仿宋_GB2312" w:hAnsi="仿宋_GB2312" w:cs="仿宋_GB2312"/>
          <w:color w:val="000000"/>
          <w:szCs w:val="32"/>
        </w:rPr>
        <w:t>（四）消防设施的日常检查、维护与检测；</w:t>
      </w:r>
    </w:p>
    <w:p w14:paraId="64E496D7">
      <w:pPr>
        <w:spacing w:line="600" w:lineRule="exact"/>
        <w:ind w:firstLine="640" w:firstLineChars="200"/>
        <w:outlineLvl w:val="1"/>
        <w:rPr>
          <w:rFonts w:ascii="仿宋_GB2312" w:hAnsi="仿宋_GB2312" w:cs="仿宋_GB2312"/>
          <w:color w:val="000000"/>
          <w:szCs w:val="32"/>
        </w:rPr>
      </w:pPr>
      <w:r>
        <w:rPr>
          <w:rFonts w:hint="eastAsia" w:ascii="仿宋_GB2312" w:hAnsi="仿宋_GB2312" w:cs="仿宋_GB2312"/>
          <w:color w:val="000000"/>
          <w:szCs w:val="32"/>
        </w:rPr>
        <w:t>（五）其他：</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w:t>
      </w:r>
    </w:p>
    <w:p w14:paraId="2E670619">
      <w:pPr>
        <w:spacing w:line="600" w:lineRule="exact"/>
        <w:ind w:firstLine="640" w:firstLineChars="200"/>
        <w:rPr>
          <w:rFonts w:ascii="黑体" w:hAnsi="黑体" w:eastAsia="黑体" w:cs="黑体"/>
          <w:color w:val="000000"/>
          <w:szCs w:val="32"/>
        </w:rPr>
      </w:pPr>
      <w:r>
        <w:rPr>
          <w:rFonts w:hint="eastAsia" w:ascii="仿宋_GB2312" w:hAnsi="仿宋_GB2312" w:cs="仿宋_GB2312"/>
          <w:color w:val="000000"/>
          <w:szCs w:val="32"/>
        </w:rPr>
        <w:t>乙方不得将本物业管理区域内的全部物业服务事项一并委托给他人。</w:t>
      </w:r>
    </w:p>
    <w:p w14:paraId="156B02B9">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第五条</w:t>
      </w:r>
      <w:r>
        <w:rPr>
          <w:rFonts w:hint="eastAsia" w:ascii="仿宋_GB2312" w:hAnsi="宋体" w:cs="仿宋_GB2312"/>
          <w:color w:val="000000"/>
          <w:szCs w:val="32"/>
        </w:rPr>
        <w:t xml:space="preserve">  在物业服务区域内，乙方提供的其他相关服务包括以下事项：</w:t>
      </w:r>
    </w:p>
    <w:p w14:paraId="380DEA7A">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一）针对业主需求开展特约服务：单个或多个业主可委托乙方对其物业的专有部分提供维修养护服务、家政服务及空置房管理维护服务等个性化服务，服务内容和费用由双方另行商定；开展特约服务不能影响和降低对全体业主的服务质量；</w:t>
      </w:r>
    </w:p>
    <w:p w14:paraId="2FD24776">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（二）其他：</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070791F8">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开展特约服务前双方可以签订相应特约服务协议。</w:t>
      </w:r>
    </w:p>
    <w:p w14:paraId="34CC8D57">
      <w:pPr>
        <w:pStyle w:val="2"/>
        <w:ind w:left="640"/>
      </w:pPr>
    </w:p>
    <w:p w14:paraId="3720A11A">
      <w:pPr>
        <w:spacing w:line="600" w:lineRule="exact"/>
        <w:jc w:val="center"/>
        <w:rPr>
          <w:rFonts w:ascii="黑体" w:hAnsi="黑体" w:eastAsia="黑体" w:cs="黑体"/>
          <w:color w:val="000000"/>
          <w:szCs w:val="32"/>
        </w:rPr>
      </w:pPr>
      <w:r>
        <w:rPr>
          <w:rFonts w:ascii="黑体" w:hAnsi="黑体" w:eastAsia="黑体" w:cs="黑体"/>
          <w:color w:val="000000"/>
          <w:szCs w:val="32"/>
        </w:rPr>
        <w:t>第</w:t>
      </w:r>
      <w:r>
        <w:rPr>
          <w:rFonts w:hint="eastAsia" w:ascii="黑体" w:hAnsi="黑体" w:eastAsia="黑体" w:cs="黑体"/>
          <w:color w:val="000000"/>
          <w:szCs w:val="32"/>
        </w:rPr>
        <w:t>三</w:t>
      </w:r>
      <w:r>
        <w:rPr>
          <w:rFonts w:ascii="黑体" w:hAnsi="黑体" w:eastAsia="黑体" w:cs="黑体"/>
          <w:color w:val="000000"/>
          <w:szCs w:val="32"/>
        </w:rPr>
        <w:t>章</w:t>
      </w:r>
      <w:r>
        <w:rPr>
          <w:rFonts w:hint="eastAsia" w:ascii="黑体" w:hAnsi="黑体" w:eastAsia="黑体" w:cs="黑体"/>
          <w:color w:val="000000"/>
          <w:szCs w:val="32"/>
        </w:rPr>
        <w:t xml:space="preserve"> 物业的查验和交接</w:t>
      </w:r>
    </w:p>
    <w:p w14:paraId="32B45F62">
      <w:pPr>
        <w:adjustRightInd w:val="0"/>
        <w:snapToGrid w:val="0"/>
        <w:spacing w:line="600" w:lineRule="exact"/>
        <w:ind w:firstLine="640" w:firstLineChars="200"/>
        <w:rPr>
          <w:rFonts w:ascii="黑体" w:hAnsi="黑体" w:eastAsia="黑体" w:cs="黑体"/>
          <w:color w:val="000000"/>
          <w:szCs w:val="32"/>
        </w:rPr>
      </w:pPr>
      <w:r>
        <w:rPr>
          <w:rFonts w:hint="eastAsia" w:ascii="黑体" w:hAnsi="黑体" w:eastAsia="黑体" w:cs="黑体"/>
          <w:color w:val="000000"/>
          <w:szCs w:val="32"/>
        </w:rPr>
        <w:t xml:space="preserve">第六条  </w:t>
      </w:r>
      <w:r>
        <w:rPr>
          <w:rFonts w:hint="eastAsia" w:ascii="仿宋_GB2312" w:hAnsi="仿宋_GB2312" w:cs="仿宋_GB2312"/>
          <w:color w:val="000000"/>
          <w:szCs w:val="32"/>
        </w:rPr>
        <w:t>甲方应与乙方做好物业服务用房、业主共有部分和</w:t>
      </w:r>
      <w:r>
        <w:rPr>
          <w:rFonts w:hint="eastAsia" w:ascii="仿宋_GB2312" w:hAnsi="宋体" w:cs="仿宋_GB2312"/>
          <w:color w:val="000000"/>
          <w:szCs w:val="32"/>
        </w:rPr>
        <w:t>公用设施</w:t>
      </w:r>
      <w:r>
        <w:rPr>
          <w:rFonts w:hint="eastAsia" w:ascii="仿宋_GB2312" w:hAnsi="仿宋_GB2312" w:cs="仿宋_GB2312"/>
          <w:color w:val="000000"/>
          <w:szCs w:val="32"/>
        </w:rPr>
        <w:t>、相关资料和财物的移交工作</w:t>
      </w:r>
      <w:bookmarkStart w:id="2" w:name="fawenjiguandaizi"/>
      <w:bookmarkEnd w:id="2"/>
      <w:r>
        <w:rPr>
          <w:rFonts w:ascii="仿宋_GB2312" w:hAnsi="仿宋_GB2312" w:cs="仿宋_GB2312"/>
          <w:color w:val="000000"/>
          <w:szCs w:val="32"/>
        </w:rPr>
        <w:pict>
          <v:shape id="文本框 13" o:spid="_x0000_s1026" o:spt="202" type="#_x0000_t202" style="position:absolute;left:0pt;margin-left:-126pt;margin-top:36.6pt;height:7.8pt;width:9pt;z-index:251659264;mso-width-relative:page;mso-height-relative:page;" filled="f" stroked="f" coordsize="21600,21600" o:gfxdata="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AOr0KY2QAAAAsB&#10;AAAPAAAAAAAAAAEAIAAAACIAAABkcnMvZG93bnJldi54bWxQSwECFAAUAAAACACHTuJAA3k5BhoC&#10;AAAjBAAADgAAAAAAAAABACAAAAAoAQAAZHJzL2Uyb0RvYy54bWxQSwUGAAAAAAYABgBZAQAAtAUA&#10;AAAA&#10;">
            <v:path/>
            <v:fill on="f" focussize="0,0"/>
            <v:stroke on="f" joinstyle="miter"/>
            <v:imagedata o:title=""/>
            <o:lock v:ext="edit"/>
            <v:textbox>
              <w:txbxContent>
                <w:p w14:paraId="5E8786EE">
                  <w:pPr>
                    <w:pStyle w:val="13"/>
                    <w:rPr>
                      <w:rStyle w:val="22"/>
                      <w:sz w:val="28"/>
                      <w:szCs w:val="28"/>
                    </w:rPr>
                  </w:pPr>
                  <w:r>
                    <w:rPr>
                      <w:rStyle w:val="22"/>
                      <w:sz w:val="28"/>
                      <w:szCs w:val="28"/>
                    </w:rPr>
                    <w:t>- 10 -</w:t>
                  </w:r>
                </w:p>
                <w:p w14:paraId="32BFAB8F">
                  <w:pPr>
                    <w:rPr>
                      <w:rFonts w:ascii="宋体" w:hAnsi="宋体"/>
                      <w:b/>
                    </w:rPr>
                  </w:pPr>
                </w:p>
              </w:txbxContent>
            </v:textbox>
          </v:shape>
        </w:pict>
      </w:r>
      <w:r>
        <w:rPr>
          <w:rFonts w:hint="eastAsia" w:ascii="仿宋_GB2312" w:hAnsi="仿宋_GB2312" w:cs="仿宋_GB2312"/>
          <w:color w:val="000000"/>
          <w:szCs w:val="32"/>
        </w:rPr>
        <w:t>，协调原物业服务人配合乙方做好查验和交接工作，负责协调、处理、解决本合同生效前发生的遗留问题，不得因此影响乙方工作。</w:t>
      </w:r>
    </w:p>
    <w:p w14:paraId="11F3283A">
      <w:pPr>
        <w:snapToGrid w:val="0"/>
        <w:spacing w:line="600" w:lineRule="exact"/>
        <w:ind w:firstLine="640" w:firstLineChars="200"/>
        <w:rPr>
          <w:rFonts w:ascii="仿宋_GB2312"/>
          <w:color w:val="000000"/>
          <w:szCs w:val="32"/>
        </w:rPr>
      </w:pPr>
      <w:r>
        <w:rPr>
          <w:rFonts w:hint="eastAsia" w:ascii="黑体" w:hAnsi="黑体" w:eastAsia="黑体" w:cs="黑体"/>
          <w:color w:val="000000"/>
          <w:szCs w:val="32"/>
        </w:rPr>
        <w:t xml:space="preserve">第七条  </w:t>
      </w:r>
      <w:r>
        <w:rPr>
          <w:rFonts w:hint="eastAsia" w:ascii="仿宋_GB2312" w:hAnsi="仿宋_GB2312" w:cs="仿宋_GB2312"/>
          <w:color w:val="000000"/>
          <w:szCs w:val="32"/>
        </w:rPr>
        <w:t>甲方应当向乙方移交下列资料、财物</w:t>
      </w:r>
      <w:r>
        <w:rPr>
          <w:rFonts w:hint="eastAsia" w:ascii="仿宋_GB2312" w:cs="仿宋_GB2312"/>
          <w:color w:val="000000"/>
          <w:szCs w:val="32"/>
        </w:rPr>
        <w:t>：</w:t>
      </w:r>
    </w:p>
    <w:p w14:paraId="1D004C89">
      <w:pPr>
        <w:snapToGrid w:val="0"/>
        <w:spacing w:line="600" w:lineRule="exact"/>
        <w:ind w:firstLine="640" w:firstLineChars="200"/>
        <w:rPr>
          <w:rFonts w:ascii="仿宋_GB2312" w:hAnsi="宋体"/>
          <w:color w:val="000000"/>
          <w:szCs w:val="32"/>
        </w:rPr>
      </w:pPr>
      <w:r>
        <w:rPr>
          <w:rFonts w:hint="eastAsia" w:ascii="仿宋_GB2312" w:cs="仿宋_GB2312"/>
          <w:color w:val="000000"/>
          <w:szCs w:val="32"/>
        </w:rPr>
        <w:t>（一）</w:t>
      </w:r>
      <w:r>
        <w:rPr>
          <w:rFonts w:hint="eastAsia" w:ascii="仿宋_GB2312" w:hAnsi="Arial Narrow" w:cs="仿宋_GB2312"/>
          <w:color w:val="000000"/>
          <w:szCs w:val="32"/>
        </w:rPr>
        <w:t>竣工总平面图，单体建筑、结构、设备竣工图，配套设施、地下管网工程竣工图等竣工验收资料；</w:t>
      </w:r>
    </w:p>
    <w:p w14:paraId="375EFA8B">
      <w:pPr>
        <w:snapToGrid w:val="0"/>
        <w:spacing w:line="600" w:lineRule="exact"/>
        <w:ind w:firstLine="640" w:firstLineChars="200"/>
        <w:rPr>
          <w:rFonts w:ascii="仿宋_GB2312" w:hAnsi="Arial Narrow" w:cs="仿宋_GB2312"/>
          <w:color w:val="000000"/>
          <w:kern w:val="0"/>
          <w:szCs w:val="32"/>
        </w:rPr>
      </w:pPr>
      <w:r>
        <w:rPr>
          <w:rFonts w:hint="eastAsia" w:ascii="仿宋_GB2312" w:hAnsi="Arial Narrow" w:cs="仿宋_GB2312"/>
          <w:color w:val="000000"/>
          <w:kern w:val="0"/>
          <w:szCs w:val="32"/>
        </w:rPr>
        <w:t>（二）设施设备的安装、使用和维护保养等技术资料；</w:t>
      </w:r>
    </w:p>
    <w:p w14:paraId="70178056">
      <w:pPr>
        <w:snapToGrid w:val="0"/>
        <w:spacing w:line="600" w:lineRule="exact"/>
        <w:ind w:firstLine="640" w:firstLineChars="200"/>
        <w:rPr>
          <w:rFonts w:ascii="仿宋_GB2312" w:hAnsi="Arial Narrow" w:cs="仿宋_GB2312"/>
          <w:color w:val="000000"/>
          <w:kern w:val="0"/>
          <w:szCs w:val="32"/>
        </w:rPr>
      </w:pPr>
      <w:r>
        <w:rPr>
          <w:rFonts w:hint="eastAsia" w:ascii="仿宋_GB2312" w:hAnsi="Arial Narrow" w:cs="仿宋_GB2312"/>
          <w:color w:val="000000"/>
          <w:kern w:val="0"/>
          <w:szCs w:val="32"/>
        </w:rPr>
        <w:t>（三）共有部分和公用设施设备及清单；</w:t>
      </w:r>
    </w:p>
    <w:p w14:paraId="330007D2">
      <w:pPr>
        <w:snapToGrid w:val="0"/>
        <w:spacing w:line="600" w:lineRule="exact"/>
        <w:ind w:firstLine="640" w:firstLineChars="200"/>
        <w:rPr>
          <w:rFonts w:ascii="仿宋_GB2312" w:hAnsi="Arial Narrow" w:cs="仿宋_GB2312"/>
          <w:color w:val="000000"/>
          <w:kern w:val="0"/>
          <w:szCs w:val="32"/>
        </w:rPr>
      </w:pPr>
      <w:r>
        <w:rPr>
          <w:rFonts w:hint="eastAsia" w:ascii="仿宋_GB2312" w:hAnsi="Arial Narrow" w:cs="仿宋_GB2312"/>
          <w:color w:val="000000"/>
          <w:kern w:val="0"/>
          <w:szCs w:val="32"/>
        </w:rPr>
        <w:t>（四）物业质量保修文件和物业使用说明文件；</w:t>
      </w:r>
    </w:p>
    <w:p w14:paraId="55362AFB">
      <w:pPr>
        <w:snapToGrid w:val="0"/>
        <w:spacing w:line="600" w:lineRule="exact"/>
        <w:ind w:firstLine="640" w:firstLineChars="200"/>
        <w:rPr>
          <w:rFonts w:ascii="仿宋_GB2312" w:hAnsi="Arial Narrow" w:cs="仿宋_GB2312"/>
          <w:color w:val="000000"/>
          <w:kern w:val="0"/>
          <w:szCs w:val="32"/>
        </w:rPr>
      </w:pPr>
      <w:r>
        <w:rPr>
          <w:rFonts w:hint="eastAsia" w:ascii="仿宋_GB2312" w:hAnsi="Arial Narrow" w:cs="仿宋_GB2312"/>
          <w:color w:val="000000"/>
          <w:kern w:val="0"/>
          <w:szCs w:val="32"/>
        </w:rPr>
        <w:t>（五）《业主名册》（包括但不限于包括房号、专有建筑面积、业主姓名、身份证号码、联系方式等）；</w:t>
      </w:r>
    </w:p>
    <w:p w14:paraId="51B0C7C2">
      <w:pPr>
        <w:snapToGrid w:val="0"/>
        <w:spacing w:line="600" w:lineRule="exact"/>
        <w:ind w:firstLine="640" w:firstLineChars="200"/>
        <w:rPr>
          <w:rFonts w:ascii="仿宋_GB2312" w:hAnsi="Arial Narrow" w:cs="仿宋_GB2312"/>
          <w:color w:val="000000"/>
          <w:kern w:val="0"/>
          <w:szCs w:val="32"/>
        </w:rPr>
      </w:pPr>
      <w:r>
        <w:rPr>
          <w:rFonts w:hint="eastAsia" w:ascii="仿宋_GB2312" w:hAnsi="Arial Narrow" w:cs="仿宋_GB2312"/>
          <w:color w:val="000000"/>
          <w:kern w:val="0"/>
          <w:szCs w:val="32"/>
        </w:rPr>
        <w:t>（六）实行酬金制的，预收的物业服务资金和服务期间的财务资料；</w:t>
      </w:r>
    </w:p>
    <w:p w14:paraId="7D229DB4">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（七）住宅专项维修资金使用的相关资料；</w:t>
      </w:r>
    </w:p>
    <w:p w14:paraId="602931D7">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（八）供水、供电、供气、供热、通讯、污水排放等准许使用文件；</w:t>
      </w:r>
    </w:p>
    <w:p w14:paraId="504DD4D2">
      <w:pPr>
        <w:snapToGrid w:val="0"/>
        <w:spacing w:line="600" w:lineRule="exact"/>
        <w:ind w:firstLine="640" w:firstLineChars="200"/>
        <w:rPr>
          <w:rFonts w:ascii="仿宋_GB2312" w:hAnsi="仿宋_GB2312" w:cs="仿宋_GB2312"/>
          <w:color w:val="000000"/>
          <w:szCs w:val="32"/>
        </w:rPr>
      </w:pPr>
      <w:r>
        <w:rPr>
          <w:rFonts w:hint="eastAsia" w:ascii="仿宋_GB2312" w:hAnsi="Arial Narrow" w:cs="仿宋_GB2312"/>
          <w:color w:val="000000"/>
          <w:kern w:val="0"/>
          <w:szCs w:val="32"/>
        </w:rPr>
        <w:t>（九）物业管理必需的其他资料。</w:t>
      </w:r>
    </w:p>
    <w:p w14:paraId="7872B771">
      <w:pPr>
        <w:snapToGrid w:val="0"/>
        <w:spacing w:line="600" w:lineRule="exact"/>
        <w:ind w:firstLine="640" w:firstLineChars="200"/>
        <w:rPr>
          <w:rFonts w:ascii="仿宋_GB2312" w:hAnsi="仿宋_GB2312" w:cs="仿宋_GB2312"/>
          <w:color w:val="000000"/>
          <w:szCs w:val="32"/>
        </w:rPr>
      </w:pPr>
      <w:r>
        <w:rPr>
          <w:rFonts w:hint="eastAsia" w:ascii="黑体" w:hAnsi="黑体" w:eastAsia="黑体" w:cs="黑体"/>
          <w:color w:val="000000"/>
          <w:szCs w:val="32"/>
        </w:rPr>
        <w:t xml:space="preserve">第八条 </w:t>
      </w:r>
      <w:r>
        <w:rPr>
          <w:rFonts w:hint="eastAsia" w:ascii="仿宋_GB2312" w:hAnsi="仿宋_GB2312" w:cs="仿宋_GB2312"/>
          <w:color w:val="000000"/>
          <w:szCs w:val="32"/>
        </w:rPr>
        <w:t>甲乙双方应当对共有部分、</w:t>
      </w:r>
      <w:r>
        <w:rPr>
          <w:rFonts w:hint="eastAsia" w:ascii="仿宋_GB2312" w:hAnsi="宋体" w:cs="仿宋_GB2312"/>
          <w:color w:val="000000"/>
          <w:szCs w:val="32"/>
        </w:rPr>
        <w:t>公用设施</w:t>
      </w:r>
      <w:r>
        <w:rPr>
          <w:rFonts w:hint="eastAsia" w:ascii="仿宋_GB2312" w:hAnsi="仿宋_GB2312" w:cs="仿宋_GB2312"/>
          <w:color w:val="000000"/>
          <w:szCs w:val="32"/>
        </w:rPr>
        <w:t>进行查验，签订物业验收协议，明确物业验收基本情况、存在问题、解决方法及时限、双方权利义务、违约责任等事项，并及时向业主公布查验结果。（物业查验、交接协议</w:t>
      </w:r>
      <w:r>
        <w:rPr>
          <w:rFonts w:hint="eastAsia" w:ascii="仿宋_GB2312" w:hAnsi="宋体" w:cs="仿宋_GB2312"/>
          <w:color w:val="000000"/>
          <w:szCs w:val="32"/>
        </w:rPr>
        <w:t>见附件6</w:t>
      </w:r>
      <w:r>
        <w:rPr>
          <w:rFonts w:hint="eastAsia" w:ascii="仿宋_GB2312" w:hAnsi="仿宋_GB2312" w:cs="仿宋_GB2312"/>
          <w:color w:val="000000"/>
          <w:szCs w:val="32"/>
        </w:rPr>
        <w:t>）。</w:t>
      </w:r>
    </w:p>
    <w:p w14:paraId="0AA5AA37">
      <w:pPr>
        <w:snapToGrid w:val="0"/>
        <w:spacing w:line="600" w:lineRule="exact"/>
        <w:ind w:firstLine="640" w:firstLineChars="200"/>
        <w:rPr>
          <w:rFonts w:ascii="仿宋_GB2312" w:hAnsi="宋体" w:cs="仿宋_GB2312"/>
          <w:color w:val="000000"/>
          <w:szCs w:val="32"/>
        </w:rPr>
      </w:pPr>
    </w:p>
    <w:p w14:paraId="20F80342">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第四章  物业服务标准和服务费用</w:t>
      </w:r>
    </w:p>
    <w:p w14:paraId="6D513824">
      <w:pPr>
        <w:snapToGrid w:val="0"/>
        <w:spacing w:line="600" w:lineRule="exact"/>
        <w:ind w:firstLine="640" w:firstLineChars="200"/>
        <w:rPr>
          <w:rFonts w:ascii="仿宋_GB2312" w:hAnsi="仿宋_GB2312" w:eastAsia="仿宋_GB2312" w:cs="仿宋_GB2312"/>
          <w:color w:val="000000"/>
          <w:sz w:val="32"/>
          <w:szCs w:val="32"/>
        </w:rPr>
      </w:pPr>
      <w:bookmarkStart w:id="3" w:name="_Hlk23419931"/>
      <w:bookmarkEnd w:id="3"/>
      <w:r>
        <w:rPr>
          <w:rFonts w:hint="eastAsia" w:ascii="黑体" w:hAnsi="黑体" w:eastAsia="黑体" w:cs="黑体"/>
          <w:color w:val="000000"/>
          <w:szCs w:val="32"/>
        </w:rPr>
        <w:t xml:space="preserve">第九条  </w:t>
      </w:r>
      <w:r>
        <w:rPr>
          <w:rFonts w:hint="eastAsia" w:ascii="仿宋_GB2312" w:hAnsi="宋体" w:eastAsia="仿宋_GB2312" w:cs="仿宋_GB2312"/>
          <w:color w:val="000000"/>
          <w:sz w:val="32"/>
          <w:szCs w:val="32"/>
        </w:rPr>
        <w:t>乙方提供的</w:t>
      </w:r>
      <w:r>
        <w:rPr>
          <w:rFonts w:hint="eastAsia" w:ascii="仿宋_GB2312" w:hAnsi="宋体" w:eastAsia="仿宋_GB2312" w:cs="仿宋_GB2312"/>
          <w:color w:val="000000"/>
          <w:sz w:val="32"/>
          <w:szCs w:val="32"/>
          <w:lang w:eastAsia="zh-CN"/>
        </w:rPr>
        <w:t>基础</w:t>
      </w:r>
      <w:r>
        <w:rPr>
          <w:rFonts w:hint="eastAsia" w:ascii="仿宋_GB2312" w:hAnsi="宋体" w:eastAsia="仿宋_GB2312" w:cs="仿宋_GB2312"/>
          <w:color w:val="000000"/>
          <w:sz w:val="32"/>
          <w:szCs w:val="32"/>
        </w:rPr>
        <w:t>物业服务应达到</w:t>
      </w:r>
      <w:bookmarkStart w:id="4" w:name="OLE_LINK22"/>
      <w:r>
        <w:rPr>
          <w:rFonts w:hint="eastAsia" w:ascii="仿宋_GB2312" w:hAnsi="宋体" w:eastAsia="仿宋_GB2312" w:cs="仿宋_GB2312"/>
          <w:color w:val="000000"/>
          <w:sz w:val="32"/>
          <w:szCs w:val="32"/>
        </w:rPr>
        <w:t>《襄阳市区住宅前期物业服务等级标准》</w:t>
      </w:r>
      <w:bookmarkEnd w:id="4"/>
      <w:r>
        <w:rPr>
          <w:rFonts w:hint="eastAsia" w:ascii="仿宋_GB2312" w:hAnsi="宋体" w:eastAsia="仿宋_GB2312" w:cs="仿宋_GB2312"/>
          <w:color w:val="000000"/>
          <w:sz w:val="32"/>
          <w:szCs w:val="32"/>
          <w:u w:val="single"/>
        </w:rPr>
        <w:t xml:space="preserve">     </w:t>
      </w:r>
      <w:r>
        <w:rPr>
          <w:rFonts w:hint="eastAsia" w:ascii="仿宋_GB2312" w:hAnsi="宋体" w:eastAsia="仿宋_GB2312" w:cs="仿宋_GB2312"/>
          <w:color w:val="000000"/>
          <w:sz w:val="32"/>
          <w:szCs w:val="32"/>
        </w:rPr>
        <w:t>级规定要求（详见附件7）及收费标准为</w:t>
      </w:r>
      <w:r>
        <w:rPr>
          <w:rFonts w:hint="eastAsia" w:ascii="仿宋_GB2312" w:hAnsi="Times New Roman" w:eastAsia="仿宋_GB2312" w:cs="仿宋_GB2312"/>
          <w:color w:val="000000"/>
          <w:sz w:val="32"/>
          <w:szCs w:val="32"/>
        </w:rPr>
        <w:t>本物业服务区域提供服务，</w:t>
      </w:r>
      <w:r>
        <w:rPr>
          <w:rFonts w:hint="eastAsia" w:ascii="仿宋_GB2312" w:hAnsi="宋体" w:eastAsia="仿宋_GB2312" w:cs="仿宋_GB2312"/>
          <w:color w:val="000000"/>
          <w:sz w:val="32"/>
          <w:szCs w:val="32"/>
        </w:rPr>
        <w:t>收取物业服务费，具体</w:t>
      </w:r>
      <w:r>
        <w:rPr>
          <w:rFonts w:hint="eastAsia" w:ascii="仿宋_GB2312" w:hAnsi="Times New Roman" w:eastAsia="仿宋_GB2312" w:cs="仿宋_GB2312"/>
          <w:color w:val="000000"/>
          <w:sz w:val="32"/>
          <w:szCs w:val="32"/>
        </w:rPr>
        <w:t>选择以下第</w:t>
      </w:r>
      <w:r>
        <w:rPr>
          <w:rFonts w:hint="eastAsia" w:ascii="仿宋_GB2312" w:hAnsi="Times New Roman" w:eastAsia="仿宋_GB2312" w:cs="仿宋_GB2312"/>
          <w:color w:val="000000"/>
          <w:sz w:val="32"/>
          <w:szCs w:val="32"/>
          <w:u w:val="single"/>
        </w:rPr>
        <w:t xml:space="preserve">    </w:t>
      </w:r>
      <w:r>
        <w:rPr>
          <w:rFonts w:hint="eastAsia" w:ascii="仿宋_GB2312" w:hAnsi="Times New Roman" w:eastAsia="仿宋_GB2312" w:cs="仿宋_GB2312"/>
          <w:color w:val="000000"/>
          <w:sz w:val="32"/>
          <w:szCs w:val="32"/>
        </w:rPr>
        <w:t>种方式</w:t>
      </w:r>
      <w:r>
        <w:rPr>
          <w:rFonts w:hint="eastAsia" w:ascii="仿宋_GB2312" w:hAnsi="仿宋_GB2312" w:eastAsia="仿宋_GB2312" w:cs="仿宋_GB2312"/>
          <w:color w:val="000000"/>
          <w:sz w:val="32"/>
          <w:szCs w:val="32"/>
        </w:rPr>
        <w:t>。</w:t>
      </w:r>
    </w:p>
    <w:p w14:paraId="6C84DC48">
      <w:pPr>
        <w:snapToGrid w:val="0"/>
        <w:spacing w:line="600" w:lineRule="exact"/>
        <w:ind w:firstLine="640" w:firstLineChars="200"/>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（一）包干制</w:t>
      </w:r>
    </w:p>
    <w:p w14:paraId="085E82E1">
      <w:pPr>
        <w:snapToGrid w:val="0"/>
        <w:spacing w:line="600" w:lineRule="exact"/>
        <w:ind w:firstLine="640" w:firstLineChars="200"/>
        <w:rPr>
          <w:rFonts w:ascii="仿宋_GB2312"/>
          <w:color w:val="000000"/>
          <w:szCs w:val="32"/>
        </w:rPr>
      </w:pPr>
      <w:r>
        <w:rPr>
          <w:rFonts w:ascii="仿宋_GB2312" w:hAnsi="宋体" w:cs="仿宋_GB2312"/>
          <w:color w:val="000000"/>
          <w:kern w:val="0"/>
          <w:szCs w:val="32"/>
          <w:lang w:bidi="ar"/>
        </w:rPr>
        <w:t>物业服务费包括物业服务成本、法定税费和物业服务企业利</w:t>
      </w:r>
      <w:r>
        <w:rPr>
          <w:rFonts w:hint="eastAsia" w:ascii="仿宋_GB2312" w:hAnsi="宋体" w:cs="仿宋_GB2312"/>
          <w:color w:val="000000"/>
          <w:kern w:val="0"/>
          <w:szCs w:val="32"/>
          <w:lang w:bidi="ar"/>
        </w:rPr>
        <w:t>润，主要用于以下开支</w:t>
      </w:r>
      <w:r>
        <w:rPr>
          <w:rFonts w:hint="eastAsia" w:ascii="仿宋_GB2312"/>
          <w:color w:val="000000"/>
          <w:szCs w:val="32"/>
        </w:rPr>
        <w:t>：</w:t>
      </w:r>
    </w:p>
    <w:p w14:paraId="57F83A9D">
      <w:pPr>
        <w:spacing w:line="600" w:lineRule="exact"/>
        <w:ind w:firstLine="640" w:firstLineChars="200"/>
        <w:rPr>
          <w:rFonts w:ascii="仿宋_GB2312"/>
          <w:color w:val="000000"/>
          <w:szCs w:val="32"/>
        </w:rPr>
      </w:pPr>
      <w:r>
        <w:rPr>
          <w:rFonts w:hint="eastAsia" w:ascii="仿宋_GB2312"/>
          <w:color w:val="000000"/>
          <w:szCs w:val="32"/>
        </w:rPr>
        <w:t>1.管理服务人员的工资、社会保险和按规定提取的福利费等；</w:t>
      </w:r>
    </w:p>
    <w:p w14:paraId="7E4058B8">
      <w:pPr>
        <w:spacing w:line="600" w:lineRule="exact"/>
        <w:ind w:firstLine="640" w:firstLineChars="200"/>
        <w:rPr>
          <w:rFonts w:ascii="仿宋_GB2312"/>
          <w:color w:val="000000"/>
          <w:szCs w:val="32"/>
        </w:rPr>
      </w:pPr>
      <w:r>
        <w:rPr>
          <w:rFonts w:hint="eastAsia" w:ascii="仿宋_GB2312"/>
          <w:color w:val="000000"/>
          <w:szCs w:val="32"/>
        </w:rPr>
        <w:t>2.物业共有部分和</w:t>
      </w:r>
      <w:r>
        <w:rPr>
          <w:rFonts w:hint="eastAsia" w:ascii="仿宋_GB2312" w:hAnsi="宋体" w:cs="仿宋_GB2312"/>
          <w:color w:val="000000"/>
          <w:szCs w:val="32"/>
        </w:rPr>
        <w:t>公用设施</w:t>
      </w:r>
      <w:r>
        <w:rPr>
          <w:rFonts w:hint="eastAsia" w:ascii="仿宋_GB2312"/>
          <w:color w:val="000000"/>
          <w:szCs w:val="32"/>
        </w:rPr>
        <w:t>的日常运行、维护费用；</w:t>
      </w:r>
    </w:p>
    <w:p w14:paraId="6125DD33">
      <w:pPr>
        <w:spacing w:line="600" w:lineRule="exact"/>
        <w:ind w:firstLine="640" w:firstLineChars="200"/>
        <w:rPr>
          <w:rFonts w:ascii="仿宋_GB2312"/>
          <w:color w:val="000000"/>
          <w:szCs w:val="32"/>
        </w:rPr>
      </w:pPr>
      <w:r>
        <w:rPr>
          <w:rFonts w:hint="eastAsia" w:ascii="仿宋_GB2312"/>
          <w:color w:val="000000"/>
          <w:szCs w:val="32"/>
        </w:rPr>
        <w:t>3.物业公共区域清洁卫生费用；</w:t>
      </w:r>
    </w:p>
    <w:p w14:paraId="34620EF0">
      <w:pPr>
        <w:spacing w:line="600" w:lineRule="exact"/>
        <w:ind w:firstLine="640" w:firstLineChars="200"/>
        <w:rPr>
          <w:rFonts w:ascii="仿宋_GB2312"/>
          <w:color w:val="000000"/>
          <w:szCs w:val="32"/>
        </w:rPr>
      </w:pPr>
      <w:r>
        <w:rPr>
          <w:rFonts w:hint="eastAsia" w:ascii="仿宋_GB2312"/>
          <w:color w:val="000000"/>
          <w:szCs w:val="32"/>
        </w:rPr>
        <w:t>4.物业公共区域绿化养护费用；</w:t>
      </w:r>
    </w:p>
    <w:p w14:paraId="6CE2F9E9">
      <w:pPr>
        <w:spacing w:line="600" w:lineRule="exact"/>
        <w:ind w:firstLine="640" w:firstLineChars="200"/>
        <w:rPr>
          <w:rFonts w:ascii="仿宋_GB2312"/>
          <w:color w:val="000000"/>
          <w:szCs w:val="32"/>
        </w:rPr>
      </w:pPr>
      <w:r>
        <w:rPr>
          <w:rFonts w:hint="eastAsia" w:ascii="仿宋_GB2312"/>
          <w:color w:val="000000"/>
          <w:szCs w:val="32"/>
        </w:rPr>
        <w:t>5.物业公共区域秩序维护费用；</w:t>
      </w:r>
    </w:p>
    <w:p w14:paraId="25EB40FD">
      <w:pPr>
        <w:spacing w:line="600" w:lineRule="exact"/>
        <w:ind w:firstLine="640" w:firstLineChars="200"/>
        <w:rPr>
          <w:rFonts w:ascii="仿宋_GB2312"/>
          <w:color w:val="000000"/>
          <w:szCs w:val="32"/>
        </w:rPr>
      </w:pPr>
      <w:r>
        <w:rPr>
          <w:rFonts w:hint="eastAsia" w:ascii="仿宋_GB2312"/>
          <w:color w:val="000000"/>
          <w:szCs w:val="32"/>
        </w:rPr>
        <w:t>6.办公费用；</w:t>
      </w:r>
    </w:p>
    <w:p w14:paraId="29AB759C">
      <w:pPr>
        <w:spacing w:line="600" w:lineRule="exact"/>
        <w:ind w:firstLine="640" w:firstLineChars="200"/>
        <w:rPr>
          <w:rFonts w:ascii="仿宋_GB2312"/>
          <w:color w:val="000000"/>
          <w:szCs w:val="32"/>
        </w:rPr>
      </w:pPr>
      <w:r>
        <w:rPr>
          <w:rFonts w:hint="eastAsia" w:ascii="仿宋_GB2312"/>
          <w:color w:val="000000"/>
          <w:szCs w:val="32"/>
        </w:rPr>
        <w:t>7.物业服务企业固定资产折旧；</w:t>
      </w:r>
    </w:p>
    <w:p w14:paraId="23FF7139">
      <w:pPr>
        <w:spacing w:line="600" w:lineRule="exact"/>
        <w:ind w:firstLine="640" w:firstLineChars="200"/>
        <w:rPr>
          <w:rFonts w:ascii="仿宋_GB2312"/>
          <w:color w:val="000000"/>
          <w:szCs w:val="32"/>
        </w:rPr>
      </w:pPr>
      <w:r>
        <w:rPr>
          <w:rFonts w:hint="eastAsia" w:ascii="仿宋_GB2312"/>
          <w:color w:val="000000"/>
          <w:szCs w:val="32"/>
        </w:rPr>
        <w:t>8.物业共有部分和</w:t>
      </w:r>
      <w:r>
        <w:rPr>
          <w:rFonts w:hint="eastAsia" w:ascii="仿宋_GB2312" w:hAnsi="宋体" w:cs="仿宋_GB2312"/>
          <w:color w:val="000000"/>
          <w:szCs w:val="32"/>
        </w:rPr>
        <w:t>公用设施</w:t>
      </w:r>
      <w:r>
        <w:rPr>
          <w:rFonts w:hint="eastAsia" w:ascii="仿宋_GB2312"/>
          <w:color w:val="000000"/>
          <w:szCs w:val="32"/>
        </w:rPr>
        <w:t>及公众责任保险费用；</w:t>
      </w:r>
    </w:p>
    <w:p w14:paraId="05B9F7E9">
      <w:pPr>
        <w:tabs>
          <w:tab w:val="center" w:pos="5082"/>
        </w:tabs>
        <w:spacing w:line="600" w:lineRule="exact"/>
        <w:ind w:firstLine="640" w:firstLineChars="200"/>
        <w:rPr>
          <w:rFonts w:ascii="仿宋_GB2312"/>
          <w:color w:val="000000"/>
          <w:szCs w:val="32"/>
        </w:rPr>
      </w:pPr>
      <w:r>
        <w:rPr>
          <w:rFonts w:hint="eastAsia" w:ascii="仿宋_GB2312"/>
          <w:color w:val="000000"/>
          <w:szCs w:val="32"/>
        </w:rPr>
        <w:t>9.法定税费；</w:t>
      </w:r>
      <w:r>
        <w:rPr>
          <w:rFonts w:ascii="仿宋_GB2312"/>
          <w:color w:val="000000"/>
          <w:szCs w:val="32"/>
        </w:rPr>
        <w:tab/>
      </w:r>
    </w:p>
    <w:p w14:paraId="7CB217BE">
      <w:pPr>
        <w:spacing w:line="600" w:lineRule="exact"/>
        <w:ind w:firstLine="640" w:firstLineChars="200"/>
        <w:rPr>
          <w:rFonts w:ascii="仿宋_GB2312"/>
          <w:color w:val="000000"/>
          <w:szCs w:val="32"/>
        </w:rPr>
      </w:pPr>
      <w:r>
        <w:rPr>
          <w:rFonts w:hint="eastAsia" w:ascii="仿宋_GB2312"/>
          <w:color w:val="000000"/>
          <w:szCs w:val="32"/>
        </w:rPr>
        <w:t>10.</w:t>
      </w:r>
      <w:r>
        <w:rPr>
          <w:rFonts w:hint="eastAsia" w:ascii="仿宋_GB2312"/>
          <w:color w:val="000000"/>
          <w:szCs w:val="32"/>
          <w:u w:val="single"/>
        </w:rPr>
        <w:t xml:space="preserve">                  </w:t>
      </w:r>
      <w:r>
        <w:rPr>
          <w:rFonts w:hint="eastAsia" w:ascii="仿宋_GB2312"/>
          <w:color w:val="000000"/>
          <w:szCs w:val="32"/>
        </w:rPr>
        <w:t>。</w:t>
      </w:r>
    </w:p>
    <w:p w14:paraId="03D2ECB6">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实行包干制的，盈余或者亏损均由乙方享有或者承担；乙方不得以亏损为由单方要求增加费用、降低服务标准或减少服务项目；如因政策调整、物价指数上涨等不可归责于乙方的原因导致物业服务成本发生显著变化的，甲乙双方应当依法协商调整服务费标准。</w:t>
      </w:r>
    </w:p>
    <w:p w14:paraId="4C0D40F5">
      <w:pPr>
        <w:snapToGrid w:val="0"/>
        <w:spacing w:line="600" w:lineRule="exact"/>
        <w:ind w:firstLine="640" w:firstLineChars="200"/>
        <w:rPr>
          <w:rFonts w:ascii="楷体_GB2312" w:hAnsi="楷体_GB2312" w:eastAsia="楷体_GB2312" w:cs="楷体_GB2312"/>
          <w:color w:val="000000"/>
          <w:szCs w:val="32"/>
        </w:rPr>
      </w:pPr>
      <w:r>
        <w:rPr>
          <w:rFonts w:hint="eastAsia" w:ascii="楷体_GB2312" w:hAnsi="楷体_GB2312" w:eastAsia="楷体_GB2312" w:cs="楷体_GB2312"/>
          <w:color w:val="000000"/>
          <w:szCs w:val="32"/>
        </w:rPr>
        <w:t>（二）酬金制</w:t>
      </w:r>
    </w:p>
    <w:p w14:paraId="09BD1313">
      <w:pPr>
        <w:snapToGrid w:val="0"/>
        <w:spacing w:line="600" w:lineRule="exact"/>
        <w:ind w:firstLine="640" w:firstLineChars="200"/>
        <w:rPr>
          <w:rFonts w:ascii="仿宋_GB2312" w:hAnsi="宋体"/>
          <w:color w:val="000000"/>
          <w:szCs w:val="32"/>
        </w:rPr>
      </w:pPr>
      <w:r>
        <w:rPr>
          <w:rFonts w:ascii="仿宋_GB2312" w:hAnsi="宋体" w:cs="仿宋_GB2312"/>
          <w:color w:val="000000"/>
          <w:szCs w:val="32"/>
        </w:rPr>
        <w:t>1</w:t>
      </w:r>
      <w:r>
        <w:rPr>
          <w:rFonts w:hint="eastAsia" w:ascii="仿宋_GB2312" w:hAnsi="宋体" w:cs="仿宋_GB2312"/>
          <w:color w:val="000000"/>
          <w:szCs w:val="32"/>
        </w:rPr>
        <w:t>.物业服务费用由业主按其拥有物业的专有建筑面积预先交纳，物业服务费为交纳费用的业主共同所有，由乙方代管，预收的物业服务费主要用于物业服务成本和乙方的酬金支出。</w:t>
      </w:r>
    </w:p>
    <w:p w14:paraId="5E8F9E43">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物业服务费支出包括以下部分：</w:t>
      </w:r>
    </w:p>
    <w:p w14:paraId="16D31A08">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1</w:t>
      </w:r>
      <w:r>
        <w:rPr>
          <w:rFonts w:hint="eastAsia" w:ascii="仿宋_GB2312" w:hAnsi="宋体" w:cs="仿宋_GB2312"/>
          <w:color w:val="000000"/>
          <w:szCs w:val="32"/>
        </w:rPr>
        <w:t>）服务人员的工资、社会保险和按规定提取的福利费等；</w:t>
      </w:r>
    </w:p>
    <w:p w14:paraId="36DB6094">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2</w:t>
      </w:r>
      <w:r>
        <w:rPr>
          <w:rFonts w:hint="eastAsia" w:ascii="仿宋_GB2312" w:hAnsi="宋体" w:cs="仿宋_GB2312"/>
          <w:color w:val="000000"/>
          <w:szCs w:val="32"/>
        </w:rPr>
        <w:t>）物业</w:t>
      </w:r>
      <w:r>
        <w:rPr>
          <w:rFonts w:hint="eastAsia" w:ascii="仿宋_GB2312"/>
          <w:color w:val="000000"/>
          <w:szCs w:val="32"/>
        </w:rPr>
        <w:t>共有部分和</w:t>
      </w:r>
      <w:r>
        <w:rPr>
          <w:rFonts w:hint="eastAsia" w:ascii="仿宋_GB2312" w:hAnsi="宋体" w:cs="仿宋_GB2312"/>
          <w:color w:val="000000"/>
          <w:szCs w:val="32"/>
        </w:rPr>
        <w:t>公用设施的日常运行、维护费用；</w:t>
      </w:r>
    </w:p>
    <w:p w14:paraId="5C934BFE">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3</w:t>
      </w:r>
      <w:r>
        <w:rPr>
          <w:rFonts w:hint="eastAsia" w:ascii="仿宋_GB2312" w:hAnsi="宋体" w:cs="仿宋_GB2312"/>
          <w:color w:val="000000"/>
          <w:szCs w:val="32"/>
        </w:rPr>
        <w:t>）物业服务区域内清洁卫生费用；</w:t>
      </w:r>
    </w:p>
    <w:p w14:paraId="12B4CAD4">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4</w:t>
      </w:r>
      <w:r>
        <w:rPr>
          <w:rFonts w:hint="eastAsia" w:ascii="仿宋_GB2312" w:hAnsi="宋体" w:cs="仿宋_GB2312"/>
          <w:color w:val="000000"/>
          <w:szCs w:val="32"/>
        </w:rPr>
        <w:t>）物业服务区域内绿化养护费用；</w:t>
      </w:r>
    </w:p>
    <w:p w14:paraId="49FC51D2">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5</w:t>
      </w:r>
      <w:r>
        <w:rPr>
          <w:rFonts w:hint="eastAsia" w:ascii="仿宋_GB2312" w:hAnsi="宋体" w:cs="仿宋_GB2312"/>
          <w:color w:val="000000"/>
          <w:szCs w:val="32"/>
        </w:rPr>
        <w:t>）物业服务区域内秩序维护费用；</w:t>
      </w:r>
    </w:p>
    <w:p w14:paraId="34B1CFB5">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6</w:t>
      </w:r>
      <w:r>
        <w:rPr>
          <w:rFonts w:hint="eastAsia" w:ascii="仿宋_GB2312" w:hAnsi="宋体" w:cs="仿宋_GB2312"/>
          <w:color w:val="000000"/>
          <w:szCs w:val="32"/>
        </w:rPr>
        <w:t>）乙方办公费用；</w:t>
      </w:r>
    </w:p>
    <w:p w14:paraId="383EE414">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7</w:t>
      </w:r>
      <w:r>
        <w:rPr>
          <w:rFonts w:hint="eastAsia" w:ascii="仿宋_GB2312" w:hAnsi="宋体" w:cs="仿宋_GB2312"/>
          <w:color w:val="000000"/>
          <w:szCs w:val="32"/>
        </w:rPr>
        <w:t>）乙方企业固定资产折旧；</w:t>
      </w:r>
    </w:p>
    <w:p w14:paraId="28DBC6FF">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8</w:t>
      </w:r>
      <w:r>
        <w:rPr>
          <w:rFonts w:hint="eastAsia" w:ascii="仿宋_GB2312" w:hAnsi="宋体" w:cs="仿宋_GB2312"/>
          <w:color w:val="000000"/>
          <w:szCs w:val="32"/>
        </w:rPr>
        <w:t>）物业</w:t>
      </w:r>
      <w:r>
        <w:rPr>
          <w:rFonts w:hint="eastAsia" w:ascii="仿宋_GB2312"/>
          <w:color w:val="000000"/>
          <w:szCs w:val="32"/>
        </w:rPr>
        <w:t>共有部分和</w:t>
      </w:r>
      <w:r>
        <w:rPr>
          <w:rFonts w:hint="eastAsia" w:ascii="仿宋_GB2312" w:hAnsi="宋体" w:cs="仿宋_GB2312"/>
          <w:color w:val="000000"/>
          <w:szCs w:val="32"/>
        </w:rPr>
        <w:t>公用设施及公众责任保险费用；</w:t>
      </w:r>
    </w:p>
    <w:p w14:paraId="13550AAD">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9</w:t>
      </w:r>
      <w:r>
        <w:rPr>
          <w:rFonts w:hint="eastAsia" w:ascii="仿宋_GB2312" w:hAnsi="宋体" w:cs="仿宋_GB2312"/>
          <w:color w:val="000000"/>
          <w:szCs w:val="32"/>
        </w:rPr>
        <w:t>）</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49D95E7B">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2.乙方采取以下第</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种方式提取酬金：</w:t>
      </w:r>
    </w:p>
    <w:p w14:paraId="70DBAF6E">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w:t>
      </w:r>
      <w:r>
        <w:rPr>
          <w:rFonts w:ascii="仿宋_GB2312" w:hAnsi="宋体" w:cs="仿宋_GB2312"/>
          <w:color w:val="000000"/>
          <w:szCs w:val="32"/>
        </w:rPr>
        <w:t>1</w:t>
      </w:r>
      <w:r>
        <w:rPr>
          <w:rFonts w:hint="eastAsia" w:ascii="仿宋_GB2312" w:hAnsi="宋体" w:cs="仿宋_GB2312"/>
          <w:color w:val="000000"/>
          <w:szCs w:val="32"/>
        </w:rPr>
        <w:t>）</w:t>
      </w:r>
      <w:r>
        <w:rPr>
          <w:rFonts w:ascii="仿宋_GB2312" w:hAnsi="宋体" w:cs="仿宋_GB2312"/>
          <w:color w:val="000000"/>
          <w:szCs w:val="32"/>
        </w:rPr>
        <w:t>[</w:t>
      </w:r>
      <w:r>
        <w:rPr>
          <w:rFonts w:hint="eastAsia" w:ascii="仿宋_GB2312" w:hAnsi="宋体" w:cs="仿宋_GB2312"/>
          <w:color w:val="000000"/>
          <w:szCs w:val="32"/>
        </w:rPr>
        <w:t>每月</w:t>
      </w:r>
      <w:r>
        <w:rPr>
          <w:rFonts w:ascii="仿宋_GB2312" w:hAnsi="宋体" w:cs="仿宋_GB2312"/>
          <w:color w:val="000000"/>
          <w:szCs w:val="32"/>
        </w:rPr>
        <w:t>][</w:t>
      </w:r>
      <w:r>
        <w:rPr>
          <w:rFonts w:hint="eastAsia" w:ascii="仿宋_GB2312" w:hAnsi="宋体" w:cs="仿宋_GB2312"/>
          <w:color w:val="000000"/>
          <w:szCs w:val="32"/>
        </w:rPr>
        <w:t>每季</w:t>
      </w:r>
      <w:r>
        <w:rPr>
          <w:rFonts w:ascii="仿宋_GB2312" w:hAnsi="宋体" w:cs="仿宋_GB2312"/>
          <w:color w:val="000000"/>
          <w:szCs w:val="32"/>
        </w:rPr>
        <w:t>]</w:t>
      </w:r>
      <w:bookmarkStart w:id="5" w:name="OLE_LINK14"/>
      <w:bookmarkStart w:id="6" w:name="OLE_LINK9"/>
      <w:r>
        <w:rPr>
          <w:rFonts w:ascii="仿宋_GB2312" w:hAnsi="宋体" w:cs="仿宋_GB2312"/>
          <w:color w:val="000000"/>
          <w:szCs w:val="32"/>
        </w:rPr>
        <w:t>[</w:t>
      </w:r>
      <w:r>
        <w:rPr>
          <w:rFonts w:hint="eastAsia" w:ascii="仿宋_GB2312" w:hAnsi="宋体" w:cs="仿宋_GB2312"/>
          <w:color w:val="000000"/>
          <w:szCs w:val="32"/>
        </w:rPr>
        <w:t>每半年</w:t>
      </w:r>
      <w:r>
        <w:rPr>
          <w:rFonts w:ascii="仿宋_GB2312" w:hAnsi="宋体" w:cs="仿宋_GB2312"/>
          <w:color w:val="000000"/>
          <w:szCs w:val="32"/>
        </w:rPr>
        <w:t>][</w:t>
      </w:r>
      <w:r>
        <w:rPr>
          <w:rFonts w:hint="eastAsia" w:ascii="仿宋_GB2312" w:hAnsi="宋体" w:cs="仿宋_GB2312"/>
          <w:color w:val="000000"/>
          <w:szCs w:val="32"/>
        </w:rPr>
        <w:t>每年</w:t>
      </w:r>
      <w:r>
        <w:rPr>
          <w:rFonts w:ascii="仿宋_GB2312" w:hAnsi="宋体" w:cs="仿宋_GB2312"/>
          <w:color w:val="000000"/>
          <w:szCs w:val="32"/>
        </w:rPr>
        <w:t>]</w:t>
      </w:r>
      <w:bookmarkEnd w:id="5"/>
      <w:bookmarkEnd w:id="6"/>
      <w:r>
        <w:rPr>
          <w:rFonts w:hint="eastAsia" w:ascii="仿宋_GB2312" w:hAnsi="宋体" w:cs="仿宋_GB2312"/>
          <w:color w:val="000000"/>
          <w:szCs w:val="32"/>
        </w:rPr>
        <w:t>，按</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元的标准从预收的物业服务费中提取；</w:t>
      </w:r>
    </w:p>
    <w:p w14:paraId="35C9BD5F">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w:t>
      </w:r>
      <w:r>
        <w:rPr>
          <w:rFonts w:ascii="仿宋_GB2312" w:hAnsi="宋体" w:cs="仿宋_GB2312"/>
          <w:color w:val="000000"/>
          <w:szCs w:val="32"/>
        </w:rPr>
        <w:t>2</w:t>
      </w:r>
      <w:r>
        <w:rPr>
          <w:rFonts w:hint="eastAsia" w:ascii="仿宋_GB2312" w:hAnsi="宋体" w:cs="仿宋_GB2312"/>
          <w:color w:val="000000"/>
          <w:szCs w:val="32"/>
        </w:rPr>
        <w:t>）</w:t>
      </w:r>
      <w:r>
        <w:rPr>
          <w:rFonts w:ascii="仿宋_GB2312" w:hAnsi="宋体" w:cs="仿宋_GB2312"/>
          <w:color w:val="000000"/>
          <w:szCs w:val="32"/>
        </w:rPr>
        <w:t>[</w:t>
      </w:r>
      <w:r>
        <w:rPr>
          <w:rFonts w:hint="eastAsia" w:ascii="仿宋_GB2312" w:hAnsi="宋体" w:cs="仿宋_GB2312"/>
          <w:color w:val="000000"/>
          <w:szCs w:val="32"/>
        </w:rPr>
        <w:t>每月</w:t>
      </w:r>
      <w:r>
        <w:rPr>
          <w:rFonts w:ascii="仿宋_GB2312" w:hAnsi="宋体" w:cs="仿宋_GB2312"/>
          <w:color w:val="000000"/>
          <w:szCs w:val="32"/>
        </w:rPr>
        <w:t>][</w:t>
      </w:r>
      <w:r>
        <w:rPr>
          <w:rFonts w:hint="eastAsia" w:ascii="仿宋_GB2312" w:hAnsi="宋体" w:cs="仿宋_GB2312"/>
          <w:color w:val="000000"/>
          <w:szCs w:val="32"/>
        </w:rPr>
        <w:t>每季</w:t>
      </w:r>
      <w:r>
        <w:rPr>
          <w:rFonts w:ascii="仿宋_GB2312" w:hAnsi="宋体" w:cs="仿宋_GB2312"/>
          <w:color w:val="000000"/>
          <w:szCs w:val="32"/>
        </w:rPr>
        <w:t>]</w:t>
      </w:r>
      <w:bookmarkStart w:id="7" w:name="OLE_LINK13"/>
      <w:bookmarkStart w:id="8" w:name="OLE_LINK15"/>
      <w:r>
        <w:rPr>
          <w:rFonts w:ascii="仿宋_GB2312" w:hAnsi="宋体" w:cs="仿宋_GB2312"/>
          <w:color w:val="000000"/>
          <w:szCs w:val="32"/>
        </w:rPr>
        <w:t>[</w:t>
      </w:r>
      <w:r>
        <w:rPr>
          <w:rFonts w:hint="eastAsia" w:ascii="仿宋_GB2312" w:hAnsi="宋体" w:cs="仿宋_GB2312"/>
          <w:color w:val="000000"/>
          <w:szCs w:val="32"/>
        </w:rPr>
        <w:t>每半年</w:t>
      </w:r>
      <w:r>
        <w:rPr>
          <w:rFonts w:ascii="仿宋_GB2312" w:hAnsi="宋体" w:cs="仿宋_GB2312"/>
          <w:color w:val="000000"/>
          <w:szCs w:val="32"/>
        </w:rPr>
        <w:t>][</w:t>
      </w:r>
      <w:r>
        <w:rPr>
          <w:rFonts w:hint="eastAsia" w:ascii="仿宋_GB2312" w:hAnsi="宋体" w:cs="仿宋_GB2312"/>
          <w:color w:val="000000"/>
          <w:szCs w:val="32"/>
        </w:rPr>
        <w:t>每年</w:t>
      </w:r>
      <w:r>
        <w:rPr>
          <w:rFonts w:ascii="仿宋_GB2312" w:hAnsi="宋体" w:cs="仿宋_GB2312"/>
          <w:color w:val="000000"/>
          <w:szCs w:val="32"/>
        </w:rPr>
        <w:t>]</w:t>
      </w:r>
      <w:bookmarkEnd w:id="7"/>
      <w:bookmarkEnd w:id="8"/>
      <w:r>
        <w:rPr>
          <w:rFonts w:hint="eastAsia" w:ascii="仿宋_GB2312" w:hAnsi="宋体" w:cs="仿宋_GB2312"/>
          <w:color w:val="000000"/>
          <w:szCs w:val="32"/>
        </w:rPr>
        <w:t>，从预收的物业服务费中按</w:t>
      </w:r>
      <w:r>
        <w:rPr>
          <w:rFonts w:hint="eastAsia" w:ascii="仿宋_GB2312" w:hAnsi="宋体" w:cs="仿宋_GB2312"/>
          <w:color w:val="000000"/>
          <w:szCs w:val="32"/>
          <w:u w:val="single"/>
        </w:rPr>
        <w:t xml:space="preserve">      </w:t>
      </w:r>
      <w:r>
        <w:rPr>
          <w:rFonts w:ascii="仿宋_GB2312" w:hAnsi="宋体" w:cs="仿宋_GB2312"/>
          <w:color w:val="000000"/>
          <w:szCs w:val="32"/>
        </w:rPr>
        <w:t xml:space="preserve"> %</w:t>
      </w:r>
      <w:r>
        <w:rPr>
          <w:rFonts w:hint="eastAsia" w:ascii="仿宋_GB2312" w:hAnsi="宋体" w:cs="仿宋_GB2312"/>
          <w:color w:val="000000"/>
          <w:szCs w:val="32"/>
        </w:rPr>
        <w:t>的比例提取。</w:t>
      </w:r>
    </w:p>
    <w:p w14:paraId="417C2534">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3.物业服务费支出应当全部用于本合同约定的支出，年度结算后结余部分，转入下一年度继续使用，年度结算后不足部分，由全体业主承担，另行交纳。</w:t>
      </w:r>
    </w:p>
    <w:p w14:paraId="129C2EB3">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4.乙方应当向全体业主公布物业服务年度计划和支出年度预决算，并每半年向全体业主公布物业服务费的收支情况；同时，双方按照约定每年聘请专业机构对物业服务费年度预决算和物业服务费收支情况进行审计，费用由</w:t>
      </w:r>
      <w:bookmarkStart w:id="9" w:name="OLE_LINK12"/>
      <w:r>
        <w:rPr>
          <w:rFonts w:hint="eastAsia" w:ascii="仿宋_GB2312" w:hAnsi="宋体" w:cs="仿宋_GB2312"/>
          <w:color w:val="000000"/>
          <w:szCs w:val="32"/>
        </w:rPr>
        <w:t>［甲方承担］［乙方承担］</w:t>
      </w:r>
      <w:bookmarkEnd w:id="9"/>
      <w:r>
        <w:rPr>
          <w:rFonts w:hint="eastAsia" w:ascii="仿宋_GB2312" w:hAnsi="宋体" w:cs="仿宋_GB2312"/>
          <w:color w:val="000000"/>
          <w:szCs w:val="32"/>
        </w:rPr>
        <w:t>［甲乙共同承担］。</w:t>
      </w:r>
    </w:p>
    <w:p w14:paraId="1E013CE4">
      <w:pPr>
        <w:snapToGrid w:val="0"/>
        <w:spacing w:line="600" w:lineRule="exact"/>
        <w:ind w:firstLine="640" w:firstLineChars="200"/>
        <w:rPr>
          <w:rFonts w:ascii="楷体_GB2312" w:hAnsi="楷体_GB2312" w:eastAsia="楷体_GB2312" w:cs="楷体_GB2312"/>
          <w:szCs w:val="32"/>
        </w:rPr>
      </w:pPr>
      <w:r>
        <w:rPr>
          <w:rFonts w:hint="eastAsia" w:ascii="楷体_GB2312" w:hAnsi="楷体_GB2312" w:eastAsia="楷体_GB2312" w:cs="楷体_GB2312"/>
          <w:szCs w:val="32"/>
        </w:rPr>
        <w:t>（三）信托制</w:t>
      </w:r>
    </w:p>
    <w:p w14:paraId="574052C7">
      <w:pPr>
        <w:snapToGrid w:val="0"/>
        <w:spacing w:line="600" w:lineRule="exact"/>
        <w:ind w:firstLine="640" w:firstLineChars="200"/>
        <w:rPr>
          <w:rFonts w:ascii="仿宋_GB2312" w:hAnsi="宋体" w:cs="仿宋_GB2312"/>
          <w:szCs w:val="32"/>
        </w:rPr>
      </w:pP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softHyphen/>
      </w:r>
      <w:r>
        <w:rPr>
          <w:rFonts w:hint="eastAsia" w:ascii="仿宋_GB2312" w:hAnsi="宋体" w:cs="仿宋_GB2312"/>
          <w:szCs w:val="32"/>
        </w:rPr>
        <w:t>1.甲乙双方协商，在银行开设小区共有资金管理账户，将业主按其拥有物业的专有建筑面积预先交纳的物业服务费用存入小区共有资金管理账户。账户实行“双密码”管理，甲乙双方可凭各自密码实时查询账户资金收支状况，账户资金经甲乙双方共同申请方可支取；业主可查询账户资金收支状况。</w:t>
      </w:r>
    </w:p>
    <w:p w14:paraId="3D8030A1">
      <w:pPr>
        <w:snapToGrid w:val="0"/>
        <w:spacing w:line="600" w:lineRule="exact"/>
        <w:ind w:firstLine="640" w:firstLineChars="200"/>
        <w:rPr>
          <w:rFonts w:ascii="仿宋_GB2312" w:hAnsi="宋体"/>
          <w:szCs w:val="32"/>
        </w:rPr>
      </w:pPr>
      <w:r>
        <w:rPr>
          <w:rFonts w:hint="eastAsia" w:ascii="仿宋_GB2312" w:hAnsi="宋体" w:cs="仿宋_GB2312"/>
          <w:szCs w:val="32"/>
        </w:rPr>
        <w:t>物业服务费支出包括以下部分：</w:t>
      </w:r>
    </w:p>
    <w:p w14:paraId="6B566D40">
      <w:pPr>
        <w:snapToGrid w:val="0"/>
        <w:spacing w:line="600" w:lineRule="exact"/>
        <w:ind w:firstLine="640" w:firstLineChars="200"/>
        <w:rPr>
          <w:rFonts w:ascii="仿宋_GB2312" w:hAnsi="宋体"/>
          <w:szCs w:val="32"/>
        </w:rPr>
      </w:pPr>
      <w:r>
        <w:rPr>
          <w:rFonts w:hint="eastAsia" w:ascii="仿宋_GB2312" w:hAnsi="宋体" w:cs="仿宋_GB2312"/>
          <w:szCs w:val="32"/>
        </w:rPr>
        <w:t>（1）服务人员的工资、社会保险和按规定提取的福利费等；</w:t>
      </w:r>
    </w:p>
    <w:p w14:paraId="63EA206D">
      <w:pPr>
        <w:snapToGrid w:val="0"/>
        <w:spacing w:line="600" w:lineRule="exact"/>
        <w:ind w:firstLine="640" w:firstLineChars="200"/>
        <w:rPr>
          <w:rFonts w:ascii="仿宋_GB2312" w:hAnsi="宋体"/>
          <w:szCs w:val="32"/>
        </w:rPr>
      </w:pPr>
      <w:r>
        <w:rPr>
          <w:rFonts w:hint="eastAsia" w:ascii="仿宋_GB2312" w:hAnsi="宋体" w:cs="仿宋_GB2312"/>
          <w:szCs w:val="32"/>
        </w:rPr>
        <w:t>（2）物业</w:t>
      </w:r>
      <w:r>
        <w:rPr>
          <w:rFonts w:hint="eastAsia" w:ascii="仿宋_GB2312"/>
          <w:color w:val="000000"/>
          <w:szCs w:val="32"/>
        </w:rPr>
        <w:t>共有部分和</w:t>
      </w:r>
      <w:r>
        <w:rPr>
          <w:rFonts w:hint="eastAsia" w:ascii="仿宋_GB2312" w:hAnsi="宋体" w:cs="仿宋_GB2312"/>
          <w:szCs w:val="32"/>
        </w:rPr>
        <w:t>公用设施的日常运行、维护费用；</w:t>
      </w:r>
    </w:p>
    <w:p w14:paraId="287FA40A">
      <w:pPr>
        <w:snapToGrid w:val="0"/>
        <w:spacing w:line="600" w:lineRule="exact"/>
        <w:ind w:firstLine="640" w:firstLineChars="200"/>
        <w:rPr>
          <w:rFonts w:ascii="仿宋_GB2312" w:hAnsi="宋体"/>
          <w:szCs w:val="32"/>
        </w:rPr>
      </w:pPr>
      <w:r>
        <w:rPr>
          <w:rFonts w:hint="eastAsia" w:ascii="仿宋_GB2312" w:hAnsi="宋体" w:cs="仿宋_GB2312"/>
          <w:szCs w:val="32"/>
        </w:rPr>
        <w:t>（3）物业服务区域内清洁卫生费用；</w:t>
      </w:r>
    </w:p>
    <w:p w14:paraId="6FB1CFEC">
      <w:pPr>
        <w:snapToGrid w:val="0"/>
        <w:spacing w:line="600" w:lineRule="exact"/>
        <w:ind w:firstLine="640" w:firstLineChars="200"/>
        <w:rPr>
          <w:rFonts w:ascii="仿宋_GB2312" w:hAnsi="宋体"/>
          <w:szCs w:val="32"/>
        </w:rPr>
      </w:pPr>
      <w:r>
        <w:rPr>
          <w:rFonts w:hint="eastAsia" w:ascii="仿宋_GB2312" w:hAnsi="宋体" w:cs="仿宋_GB2312"/>
          <w:szCs w:val="32"/>
        </w:rPr>
        <w:t>（4）物业服务区域内绿化养护费用；</w:t>
      </w:r>
    </w:p>
    <w:p w14:paraId="49ADA268">
      <w:pPr>
        <w:snapToGrid w:val="0"/>
        <w:spacing w:line="600" w:lineRule="exact"/>
        <w:ind w:firstLine="640" w:firstLineChars="200"/>
        <w:rPr>
          <w:rFonts w:ascii="仿宋_GB2312" w:hAnsi="宋体"/>
          <w:szCs w:val="32"/>
        </w:rPr>
      </w:pPr>
      <w:r>
        <w:rPr>
          <w:rFonts w:hint="eastAsia" w:ascii="仿宋_GB2312" w:hAnsi="宋体" w:cs="仿宋_GB2312"/>
          <w:szCs w:val="32"/>
        </w:rPr>
        <w:t>（5）物业服务区域内秩序维护费用；</w:t>
      </w:r>
    </w:p>
    <w:p w14:paraId="39E15E04">
      <w:pPr>
        <w:snapToGrid w:val="0"/>
        <w:spacing w:line="600" w:lineRule="exact"/>
        <w:ind w:firstLine="640" w:firstLineChars="200"/>
        <w:rPr>
          <w:rFonts w:ascii="仿宋_GB2312" w:hAnsi="宋体"/>
          <w:szCs w:val="32"/>
        </w:rPr>
      </w:pPr>
      <w:r>
        <w:rPr>
          <w:rFonts w:hint="eastAsia" w:ascii="仿宋_GB2312" w:hAnsi="宋体" w:cs="仿宋_GB2312"/>
          <w:szCs w:val="32"/>
        </w:rPr>
        <w:t>（6）乙方办公费用；</w:t>
      </w:r>
    </w:p>
    <w:p w14:paraId="1558EEC6">
      <w:pPr>
        <w:snapToGrid w:val="0"/>
        <w:spacing w:line="600" w:lineRule="exact"/>
        <w:ind w:firstLine="640" w:firstLineChars="200"/>
        <w:rPr>
          <w:rFonts w:ascii="仿宋_GB2312" w:hAnsi="宋体"/>
          <w:szCs w:val="32"/>
        </w:rPr>
      </w:pPr>
      <w:r>
        <w:rPr>
          <w:rFonts w:hint="eastAsia" w:ascii="仿宋_GB2312" w:hAnsi="宋体" w:cs="仿宋_GB2312"/>
          <w:szCs w:val="32"/>
        </w:rPr>
        <w:t>（7）乙方企业固定资产折旧；</w:t>
      </w:r>
    </w:p>
    <w:p w14:paraId="27C1D529">
      <w:pPr>
        <w:snapToGrid w:val="0"/>
        <w:spacing w:line="600" w:lineRule="exact"/>
        <w:ind w:firstLine="640" w:firstLineChars="200"/>
        <w:rPr>
          <w:rFonts w:ascii="仿宋_GB2312" w:hAnsi="宋体"/>
          <w:szCs w:val="32"/>
        </w:rPr>
      </w:pPr>
      <w:r>
        <w:rPr>
          <w:rFonts w:hint="eastAsia" w:ascii="仿宋_GB2312" w:hAnsi="宋体" w:cs="仿宋_GB2312"/>
          <w:szCs w:val="32"/>
        </w:rPr>
        <w:t>（8）物业</w:t>
      </w:r>
      <w:r>
        <w:rPr>
          <w:rFonts w:hint="eastAsia" w:ascii="仿宋_GB2312"/>
          <w:color w:val="000000"/>
          <w:szCs w:val="32"/>
        </w:rPr>
        <w:t>共有部分和</w:t>
      </w:r>
      <w:r>
        <w:rPr>
          <w:rFonts w:hint="eastAsia" w:ascii="仿宋_GB2312" w:hAnsi="宋体" w:cs="仿宋_GB2312"/>
          <w:szCs w:val="32"/>
        </w:rPr>
        <w:t>公用设施及公众责任保险费用；</w:t>
      </w:r>
    </w:p>
    <w:p w14:paraId="7E279271">
      <w:pPr>
        <w:snapToGrid w:val="0"/>
        <w:spacing w:line="600" w:lineRule="exact"/>
        <w:ind w:firstLine="640" w:firstLineChars="200"/>
        <w:rPr>
          <w:rFonts w:ascii="仿宋_GB2312" w:hAnsi="宋体" w:cs="仿宋_GB2312"/>
          <w:szCs w:val="32"/>
        </w:rPr>
      </w:pPr>
      <w:r>
        <w:rPr>
          <w:rFonts w:hint="eastAsia" w:ascii="仿宋_GB2312" w:hAnsi="宋体" w:cs="仿宋_GB2312"/>
          <w:szCs w:val="32"/>
        </w:rPr>
        <w:t>（9）</w:t>
      </w:r>
      <w:r>
        <w:rPr>
          <w:rFonts w:hint="eastAsia" w:ascii="仿宋_GB2312" w:hAnsi="宋体" w:cs="仿宋_GB2312"/>
          <w:color w:val="000000"/>
          <w:szCs w:val="32"/>
          <w:u w:val="single"/>
        </w:rPr>
        <w:t xml:space="preserve">                    </w:t>
      </w:r>
      <w:r>
        <w:rPr>
          <w:rFonts w:hint="eastAsia" w:ascii="仿宋_GB2312" w:hAnsi="宋体" w:cs="仿宋_GB2312"/>
          <w:szCs w:val="32"/>
        </w:rPr>
        <w:t>。</w:t>
      </w:r>
    </w:p>
    <w:p w14:paraId="0F4A7941">
      <w:pPr>
        <w:snapToGrid w:val="0"/>
        <w:spacing w:line="600" w:lineRule="exact"/>
        <w:ind w:firstLine="640" w:firstLineChars="200"/>
        <w:rPr>
          <w:rFonts w:ascii="仿宋_GB2312" w:hAnsi="宋体" w:cs="仿宋_GB2312"/>
          <w:szCs w:val="32"/>
        </w:rPr>
      </w:pPr>
      <w:r>
        <w:rPr>
          <w:rFonts w:hint="eastAsia" w:ascii="仿宋_GB2312" w:hAnsi="宋体" w:cs="仿宋_GB2312"/>
          <w:szCs w:val="32"/>
        </w:rPr>
        <w:t>2.甲乙双方应结合</w:t>
      </w:r>
      <w:r>
        <w:rPr>
          <w:rFonts w:hint="eastAsia"/>
          <w:szCs w:val="32"/>
        </w:rPr>
        <w:t>本小区物业管理服务年度工作计划，按照以上信托制物业服务费支出范围，参考市场中各项管理服务开支成本，以会计年度为周期，制定本小区下一年度物业服务费支出年度预算，并报业主大会决议。</w:t>
      </w:r>
    </w:p>
    <w:p w14:paraId="28C86829">
      <w:pPr>
        <w:snapToGrid w:val="0"/>
        <w:spacing w:line="600" w:lineRule="exact"/>
        <w:ind w:firstLine="640" w:firstLineChars="200"/>
        <w:rPr>
          <w:rFonts w:ascii="仿宋_GB2312" w:hAnsi="宋体" w:cs="仿宋_GB2312"/>
          <w:szCs w:val="32"/>
        </w:rPr>
      </w:pPr>
      <w:r>
        <w:rPr>
          <w:rFonts w:hint="eastAsia" w:ascii="仿宋_GB2312" w:hAnsi="宋体" w:cs="仿宋_GB2312"/>
          <w:szCs w:val="32"/>
        </w:rPr>
        <w:t>乙方于每月25日前（或每季度最后一周内），依据业主大会决议的</w:t>
      </w:r>
      <w:r>
        <w:rPr>
          <w:rFonts w:hint="eastAsia"/>
          <w:szCs w:val="32"/>
        </w:rPr>
        <w:t>物业服务费支出年度预算</w:t>
      </w:r>
      <w:r>
        <w:rPr>
          <w:rFonts w:hint="eastAsia" w:ascii="仿宋_GB2312" w:hAnsi="宋体" w:cs="仿宋_GB2312"/>
          <w:szCs w:val="32"/>
        </w:rPr>
        <w:t>向甲方提出资金拨付申请，并提供费用支出财务凭证。</w:t>
      </w:r>
      <w:r>
        <w:rPr>
          <w:rFonts w:hint="eastAsia"/>
          <w:szCs w:val="32"/>
        </w:rPr>
        <w:t>甲方于</w:t>
      </w:r>
      <w:r>
        <w:rPr>
          <w:rFonts w:hint="eastAsia"/>
          <w:szCs w:val="32"/>
          <w:u w:val="single"/>
        </w:rPr>
        <w:t xml:space="preserve">   </w:t>
      </w:r>
      <w:r>
        <w:rPr>
          <w:rFonts w:hint="eastAsia"/>
          <w:szCs w:val="32"/>
        </w:rPr>
        <w:t>日内对乙方提交资料进行核实，确认应当支付的物业服务成本支出金额。</w:t>
      </w:r>
    </w:p>
    <w:p w14:paraId="76914D9A">
      <w:pPr>
        <w:ind w:firstLine="640" w:firstLineChars="200"/>
        <w:rPr>
          <w:szCs w:val="32"/>
        </w:rPr>
      </w:pPr>
      <w:r>
        <w:rPr>
          <w:rFonts w:hint="eastAsia" w:ascii="仿宋_GB2312" w:hAnsi="宋体" w:cs="仿宋_GB2312"/>
          <w:szCs w:val="32"/>
        </w:rPr>
        <w:t>乙方为完成本合同约定事项</w:t>
      </w:r>
      <w:r>
        <w:rPr>
          <w:rFonts w:hint="eastAsia"/>
          <w:szCs w:val="32"/>
        </w:rPr>
        <w:t>需调整物业服务费支出年度预算的，由乙方提交书面调整方案与甲方协商，经甲方同意后，调整方案生效；调整包括年度预算执行期间内各科目之间金额的调整、确认预算外资金的用途（另有业主大会决议规定或要求的除外）或新增预算科目和金额。</w:t>
      </w:r>
    </w:p>
    <w:p w14:paraId="24477CE3">
      <w:pPr>
        <w:pStyle w:val="2"/>
        <w:ind w:left="0" w:leftChars="0" w:firstLine="640" w:firstLineChars="200"/>
        <w:rPr>
          <w:rFonts w:ascii="仿宋_GB2312" w:hAnsi="Times New Roman" w:eastAsia="仿宋_GB2312"/>
          <w:sz w:val="32"/>
          <w:szCs w:val="32"/>
        </w:rPr>
      </w:pPr>
      <w:bookmarkStart w:id="10" w:name="OLE_LINK7"/>
      <w:bookmarkStart w:id="11" w:name="OLE_LINK18"/>
      <w:bookmarkStart w:id="12" w:name="OLE_LINK8"/>
      <w:r>
        <w:rPr>
          <w:rFonts w:hint="eastAsia" w:ascii="Times New Roman" w:hAnsi="Times New Roman" w:eastAsia="仿宋_GB2312"/>
          <w:sz w:val="32"/>
          <w:szCs w:val="32"/>
        </w:rPr>
        <w:t>3.甲方</w:t>
      </w:r>
      <w:bookmarkStart w:id="13" w:name="OLE_LINK17"/>
      <w:bookmarkStart w:id="14" w:name="OLE_LINK16"/>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每半年</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每年</w:t>
      </w:r>
      <w:r>
        <w:rPr>
          <w:rFonts w:ascii="仿宋_GB2312" w:hAnsi="宋体" w:eastAsia="仿宋_GB2312" w:cs="仿宋_GB2312"/>
          <w:color w:val="000000"/>
          <w:sz w:val="32"/>
          <w:szCs w:val="32"/>
        </w:rPr>
        <w:t>]</w:t>
      </w:r>
      <w:bookmarkEnd w:id="13"/>
      <w:bookmarkEnd w:id="14"/>
      <w:r>
        <w:rPr>
          <w:rFonts w:hint="eastAsia" w:ascii="Times New Roman" w:hAnsi="Times New Roman" w:eastAsia="仿宋_GB2312"/>
          <w:sz w:val="32"/>
          <w:szCs w:val="32"/>
        </w:rPr>
        <w:t>组织业主开展物业服务质量满意度测评，根据测评结果，以本小区</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半年</w:t>
      </w:r>
      <w:r>
        <w:rPr>
          <w:rFonts w:ascii="仿宋_GB2312" w:hAnsi="宋体" w:eastAsia="仿宋_GB2312" w:cs="仿宋_GB2312"/>
          <w:color w:val="000000"/>
          <w:sz w:val="32"/>
          <w:szCs w:val="32"/>
        </w:rPr>
        <w:t>][</w:t>
      </w:r>
      <w:r>
        <w:rPr>
          <w:rFonts w:hint="eastAsia" w:ascii="仿宋_GB2312" w:hAnsi="宋体" w:eastAsia="仿宋_GB2312" w:cs="仿宋_GB2312"/>
          <w:color w:val="000000"/>
          <w:sz w:val="32"/>
          <w:szCs w:val="32"/>
        </w:rPr>
        <w:t>全年</w:t>
      </w:r>
      <w:r>
        <w:rPr>
          <w:rFonts w:ascii="仿宋_GB2312" w:hAnsi="宋体" w:eastAsia="仿宋_GB2312" w:cs="仿宋_GB2312"/>
          <w:color w:val="000000"/>
          <w:sz w:val="32"/>
          <w:szCs w:val="32"/>
        </w:rPr>
        <w:t>]</w:t>
      </w:r>
      <w:r>
        <w:rPr>
          <w:rFonts w:hint="eastAsia" w:ascii="Times New Roman" w:hAnsi="Times New Roman" w:eastAsia="仿宋_GB2312"/>
          <w:sz w:val="32"/>
          <w:szCs w:val="32"/>
        </w:rPr>
        <w:t>应收物业服务费用总数为基数，按相应比例，确认支付乙方的酬金金额，测评标准经双方协商一致后制定。满意度</w:t>
      </w:r>
      <w:r>
        <w:rPr>
          <w:rFonts w:hint="eastAsia" w:ascii="仿宋_GB2312" w:hAnsi="Times New Roman" w:eastAsia="仿宋_GB2312"/>
          <w:sz w:val="32"/>
          <w:szCs w:val="32"/>
        </w:rPr>
        <w:t>测评中，满意率低于60%（含）的，不支付酬金；满意率61%-80%的，按</w:t>
      </w:r>
      <w:r>
        <w:rPr>
          <w:rFonts w:hint="eastAsia" w:ascii="仿宋_GB2312" w:hAnsi="Times New Roman" w:eastAsia="仿宋_GB2312"/>
          <w:sz w:val="32"/>
          <w:szCs w:val="32"/>
          <w:u w:val="single"/>
        </w:rPr>
        <w:t xml:space="preserve">   </w:t>
      </w:r>
      <w:r>
        <w:rPr>
          <w:rFonts w:hint="eastAsia" w:ascii="仿宋_GB2312" w:hAnsi="Times New Roman" w:eastAsia="仿宋_GB2312"/>
          <w:sz w:val="32"/>
          <w:szCs w:val="32"/>
        </w:rPr>
        <w:t>%支付酬金；满意率81%-100%的，按</w:t>
      </w:r>
      <w:r>
        <w:rPr>
          <w:rFonts w:hint="eastAsia" w:ascii="仿宋_GB2312" w:hAnsi="Times New Roman" w:eastAsia="仿宋_GB2312"/>
          <w:sz w:val="32"/>
          <w:szCs w:val="32"/>
          <w:u w:val="single"/>
        </w:rPr>
        <w:t xml:space="preserve">   </w:t>
      </w:r>
      <w:r>
        <w:rPr>
          <w:rFonts w:hint="eastAsia" w:ascii="仿宋_GB2312" w:hAnsi="Times New Roman" w:eastAsia="仿宋_GB2312"/>
          <w:sz w:val="32"/>
          <w:szCs w:val="32"/>
        </w:rPr>
        <w:t>%支付酬金。未经业主大会表决同意，此合同约定的支付酬金比例不得调整。</w:t>
      </w:r>
    </w:p>
    <w:bookmarkEnd w:id="10"/>
    <w:bookmarkEnd w:id="11"/>
    <w:bookmarkEnd w:id="12"/>
    <w:p w14:paraId="069D8C6C">
      <w:pPr>
        <w:snapToGrid w:val="0"/>
        <w:spacing w:line="600" w:lineRule="exact"/>
        <w:ind w:firstLine="640" w:firstLineChars="200"/>
        <w:rPr>
          <w:rFonts w:ascii="仿宋_GB2312" w:hAnsi="宋体" w:cs="仿宋_GB2312"/>
          <w:szCs w:val="32"/>
        </w:rPr>
      </w:pPr>
      <w:r>
        <w:rPr>
          <w:rFonts w:hint="eastAsia" w:ascii="仿宋_GB2312" w:hAnsi="宋体" w:cs="仿宋_GB2312"/>
          <w:szCs w:val="32"/>
        </w:rPr>
        <w:t>4.乙方对甲方确认的成本支出和酬金金额无异议的，由甲乙双方共同向小区共有资金管理账户所在银行申请拨付资金到乙方指定账户；乙方提出异议，甲方拒绝接受的，按照以下方式处理：</w:t>
      </w:r>
    </w:p>
    <w:p w14:paraId="335C8E3A">
      <w:pPr>
        <w:snapToGrid w:val="0"/>
        <w:spacing w:line="600" w:lineRule="exact"/>
        <w:ind w:firstLine="640" w:firstLineChars="200"/>
        <w:rPr>
          <w:rFonts w:ascii="仿宋_GB2312" w:hAnsi="宋体"/>
          <w:szCs w:val="32"/>
        </w:rPr>
      </w:pPr>
      <w:r>
        <w:rPr>
          <w:rFonts w:hint="eastAsia" w:ascii="仿宋_GB2312" w:hAnsi="宋体" w:cs="仿宋_GB2312"/>
          <w:szCs w:val="32"/>
        </w:rPr>
        <w:t>（1）乙方对成本支出有异议的，双方选择下列第</w:t>
      </w:r>
      <w:r>
        <w:rPr>
          <w:rFonts w:hint="eastAsia" w:ascii="仿宋_GB2312" w:hAnsi="宋体" w:cs="仿宋_GB2312"/>
          <w:szCs w:val="32"/>
          <w:u w:val="single"/>
        </w:rPr>
        <w:t xml:space="preserve">    </w:t>
      </w:r>
      <w:r>
        <w:rPr>
          <w:rFonts w:hint="eastAsia" w:ascii="仿宋_GB2312" w:hAnsi="宋体" w:cs="仿宋_GB2312"/>
          <w:szCs w:val="32"/>
        </w:rPr>
        <w:t>种方式确认最终成本支出金额：</w:t>
      </w:r>
    </w:p>
    <w:p w14:paraId="78B55170">
      <w:pPr>
        <w:snapToGrid w:val="0"/>
        <w:spacing w:line="600" w:lineRule="exact"/>
        <w:ind w:firstLine="640"/>
        <w:rPr>
          <w:rFonts w:ascii="仿宋_GB2312" w:hAnsi="宋体" w:cs="仿宋_GB2312"/>
          <w:szCs w:val="32"/>
        </w:rPr>
      </w:pPr>
      <w:r>
        <w:rPr>
          <w:rFonts w:cs="Calibri"/>
          <w:szCs w:val="32"/>
        </w:rPr>
        <w:t>①</w:t>
      </w:r>
      <w:r>
        <w:rPr>
          <w:rFonts w:hint="eastAsia" w:ascii="仿宋_GB2312" w:hAnsi="宋体" w:cs="仿宋_GB2312"/>
          <w:szCs w:val="32"/>
        </w:rPr>
        <w:t>由双方共同确认的第三方审计机构进行审计确认；</w:t>
      </w:r>
    </w:p>
    <w:p w14:paraId="1D868380">
      <w:pPr>
        <w:snapToGrid w:val="0"/>
        <w:spacing w:line="600" w:lineRule="exact"/>
        <w:ind w:firstLine="640"/>
        <w:rPr>
          <w:rFonts w:ascii="仿宋_GB2312" w:hAnsi="宋体" w:cs="仿宋_GB2312"/>
          <w:szCs w:val="32"/>
        </w:rPr>
      </w:pPr>
      <w:r>
        <w:rPr>
          <w:rFonts w:cs="Calibri"/>
          <w:szCs w:val="32"/>
        </w:rPr>
        <w:t>②</w:t>
      </w:r>
      <w:r>
        <w:rPr>
          <w:rFonts w:hint="eastAsia" w:ascii="仿宋_GB2312" w:hAnsi="宋体" w:cs="仿宋_GB2312"/>
          <w:szCs w:val="32"/>
        </w:rPr>
        <w:t>向人民法院提起司法诉讼，确认最终成本支出；</w:t>
      </w:r>
    </w:p>
    <w:p w14:paraId="44A215DA">
      <w:pPr>
        <w:snapToGrid w:val="0"/>
        <w:spacing w:line="600" w:lineRule="exact"/>
        <w:ind w:firstLine="640" w:firstLineChars="200"/>
        <w:rPr>
          <w:rFonts w:ascii="仿宋_GB2312" w:hAnsi="宋体" w:cs="仿宋_GB2312"/>
          <w:szCs w:val="32"/>
        </w:rPr>
      </w:pPr>
      <w:r>
        <w:rPr>
          <w:rFonts w:cs="Calibri"/>
          <w:szCs w:val="32"/>
        </w:rPr>
        <w:t>③</w:t>
      </w:r>
      <w:r>
        <w:rPr>
          <w:rFonts w:hint="eastAsia" w:ascii="仿宋_GB2312" w:hAnsi="宋体" w:cs="仿宋_GB2312"/>
          <w:szCs w:val="32"/>
          <w:u w:val="single"/>
        </w:rPr>
        <w:t xml:space="preserve">                                            </w:t>
      </w:r>
      <w:r>
        <w:rPr>
          <w:rFonts w:hint="eastAsia" w:ascii="仿宋_GB2312" w:hAnsi="宋体" w:cs="仿宋_GB2312"/>
          <w:szCs w:val="32"/>
        </w:rPr>
        <w:t>。</w:t>
      </w:r>
    </w:p>
    <w:p w14:paraId="38E80B33">
      <w:pPr>
        <w:snapToGrid w:val="0"/>
        <w:spacing w:line="600" w:lineRule="exact"/>
        <w:ind w:firstLine="640" w:firstLineChars="200"/>
        <w:rPr>
          <w:rFonts w:ascii="仿宋_GB2312" w:hAnsi="宋体"/>
          <w:szCs w:val="32"/>
        </w:rPr>
      </w:pPr>
      <w:r>
        <w:rPr>
          <w:rFonts w:hint="eastAsia" w:ascii="仿宋_GB2312" w:hAnsi="宋体" w:cs="仿宋_GB2312"/>
          <w:szCs w:val="32"/>
        </w:rPr>
        <w:t>（2）乙方对甲方确认的酬金有异议的，双方选择第</w:t>
      </w:r>
      <w:r>
        <w:rPr>
          <w:rFonts w:hint="eastAsia" w:ascii="仿宋_GB2312" w:hAnsi="宋体" w:cs="仿宋_GB2312"/>
          <w:szCs w:val="32"/>
          <w:u w:val="single"/>
        </w:rPr>
        <w:t xml:space="preserve">    </w:t>
      </w:r>
      <w:r>
        <w:rPr>
          <w:rFonts w:hint="eastAsia" w:ascii="仿宋_GB2312" w:hAnsi="宋体" w:cs="仿宋_GB2312"/>
          <w:szCs w:val="32"/>
        </w:rPr>
        <w:t>种方式确认最终酬金金额：</w:t>
      </w:r>
    </w:p>
    <w:p w14:paraId="261B63A7">
      <w:pPr>
        <w:snapToGrid w:val="0"/>
        <w:spacing w:line="600" w:lineRule="exact"/>
        <w:ind w:firstLine="640"/>
        <w:rPr>
          <w:rFonts w:ascii="仿宋_GB2312" w:hAnsi="宋体" w:cs="仿宋_GB2312"/>
          <w:szCs w:val="32"/>
        </w:rPr>
      </w:pPr>
      <w:r>
        <w:rPr>
          <w:rFonts w:cs="Calibri"/>
          <w:szCs w:val="32"/>
        </w:rPr>
        <w:t>①</w:t>
      </w:r>
      <w:r>
        <w:rPr>
          <w:rFonts w:hint="eastAsia" w:cs="Calibri"/>
          <w:szCs w:val="32"/>
        </w:rPr>
        <w:t>由物业所在地第三方物业信托制机构组织协商确定；</w:t>
      </w:r>
    </w:p>
    <w:p w14:paraId="72106C37">
      <w:pPr>
        <w:snapToGrid w:val="0"/>
        <w:spacing w:line="600" w:lineRule="exact"/>
        <w:ind w:firstLine="640"/>
        <w:rPr>
          <w:rFonts w:cs="Calibri"/>
          <w:szCs w:val="32"/>
        </w:rPr>
      </w:pPr>
      <w:r>
        <w:rPr>
          <w:rFonts w:cs="Calibri"/>
          <w:szCs w:val="32"/>
        </w:rPr>
        <w:t>②</w:t>
      </w:r>
      <w:r>
        <w:rPr>
          <w:rFonts w:hint="eastAsia" w:cs="Calibri"/>
          <w:szCs w:val="32"/>
        </w:rPr>
        <w:t>申请物业所在地街道（乡镇）重新指导组织满意度测评；</w:t>
      </w:r>
    </w:p>
    <w:p w14:paraId="40BD4A58">
      <w:pPr>
        <w:snapToGrid w:val="0"/>
        <w:spacing w:line="600" w:lineRule="exact"/>
        <w:ind w:firstLine="640" w:firstLineChars="200"/>
        <w:rPr>
          <w:rFonts w:ascii="仿宋_GB2312" w:hAnsi="宋体" w:cs="仿宋_GB2312"/>
          <w:szCs w:val="32"/>
        </w:rPr>
      </w:pPr>
      <w:r>
        <w:rPr>
          <w:rFonts w:cs="Calibri"/>
          <w:szCs w:val="32"/>
        </w:rPr>
        <w:t>③</w:t>
      </w:r>
      <w:r>
        <w:rPr>
          <w:rFonts w:hint="eastAsia" w:ascii="仿宋_GB2312" w:hAnsi="宋体" w:cs="仿宋_GB2312"/>
          <w:szCs w:val="32"/>
          <w:u w:val="single"/>
        </w:rPr>
        <w:t xml:space="preserve">                                            </w:t>
      </w:r>
      <w:r>
        <w:rPr>
          <w:rFonts w:hint="eastAsia" w:ascii="仿宋_GB2312" w:hAnsi="宋体" w:cs="仿宋_GB2312"/>
          <w:szCs w:val="32"/>
        </w:rPr>
        <w:t>。</w:t>
      </w:r>
    </w:p>
    <w:p w14:paraId="472A3C44">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（四）其他经营方式：</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1D0CBE29">
      <w:pPr>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第十条</w:t>
      </w:r>
      <w:r>
        <w:rPr>
          <w:rFonts w:hint="eastAsia" w:ascii="仿宋_GB2312" w:hAnsi="宋体" w:cs="仿宋_GB2312"/>
          <w:color w:val="000000"/>
          <w:szCs w:val="32"/>
        </w:rPr>
        <w:t xml:space="preserve">  物业服务费由业主按其拥有物业的建筑面积交纳（</w:t>
      </w:r>
      <w:r>
        <w:rPr>
          <w:rFonts w:hint="eastAsia" w:ascii="仿宋_GB2312"/>
          <w:color w:val="000000"/>
          <w:szCs w:val="32"/>
        </w:rPr>
        <w:t>已登记的，按照不动产登记簿记载的面积计算；尚未进行登记的，按测绘机构的实测面积计算；尚未进行实测的，按房屋买卖合同记载的面积计算</w:t>
      </w:r>
      <w:r>
        <w:rPr>
          <w:rFonts w:hint="eastAsia" w:ascii="仿宋_GB2312" w:hAnsi="宋体" w:cs="仿宋_GB2312"/>
          <w:color w:val="000000"/>
          <w:szCs w:val="32"/>
        </w:rPr>
        <w:t>），具体标准如下：</w:t>
      </w:r>
    </w:p>
    <w:p w14:paraId="6A9C42D8">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[多层住宅](未配置电梯)：</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4B6393FA">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[多层住宅](配置电梯)：</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1C0ECD6E">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[高层住宅]：</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342691F9">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[别    墅]：</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05CD9804">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[办 公 楼]：</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0F01F8F4">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[商业物业]：</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58B9B365">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[会    所]：</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293C0F37">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[其    他]：</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元/</w:t>
      </w:r>
      <w:r>
        <w:rPr>
          <w:rFonts w:hint="eastAsia" w:ascii="仿宋_GB2312" w:hAnsi="仿宋_GB2312" w:cs="仿宋_GB2312"/>
          <w:color w:val="000000"/>
          <w:szCs w:val="32"/>
          <w:lang w:eastAsia="zh-Hans"/>
        </w:rPr>
        <w:t>月·</w:t>
      </w:r>
      <w:r>
        <w:rPr>
          <w:rFonts w:hint="eastAsia" w:ascii="仿宋_GB2312" w:hAnsi="仿宋_GB2312" w:cs="仿宋_GB2312"/>
          <w:color w:val="000000"/>
          <w:szCs w:val="32"/>
        </w:rPr>
        <w:t>平方米。</w:t>
      </w:r>
    </w:p>
    <w:p w14:paraId="3A7A2AC4">
      <w:pPr>
        <w:snapToGrid w:val="0"/>
        <w:spacing w:line="600" w:lineRule="exact"/>
        <w:ind w:firstLine="640" w:firstLineChars="200"/>
        <w:rPr>
          <w:rFonts w:ascii="黑体" w:hAnsi="黑体" w:eastAsia="黑体" w:cs="黑体"/>
          <w:color w:val="000000"/>
          <w:szCs w:val="32"/>
        </w:rPr>
      </w:pPr>
      <w:r>
        <w:rPr>
          <w:rFonts w:hint="eastAsia" w:ascii="仿宋_GB2312" w:hAnsi="宋体" w:cs="仿宋_GB2312"/>
          <w:color w:val="000000"/>
          <w:szCs w:val="32"/>
        </w:rPr>
        <w:t>费用调整方式：</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4C5E97E9">
      <w:pPr>
        <w:snapToGrid w:val="0"/>
        <w:spacing w:line="600" w:lineRule="exact"/>
        <w:ind w:firstLine="640" w:firstLineChars="200"/>
        <w:rPr>
          <w:rFonts w:ascii="仿宋_GB2312" w:hAnsi="宋体"/>
          <w:color w:val="000000"/>
          <w:szCs w:val="32"/>
        </w:rPr>
      </w:pPr>
      <w:r>
        <w:rPr>
          <w:rFonts w:hint="eastAsia" w:ascii="黑体" w:hAnsi="黑体" w:eastAsia="黑体" w:cs="黑体"/>
          <w:color w:val="000000"/>
          <w:szCs w:val="32"/>
        </w:rPr>
        <w:t>第十一条</w:t>
      </w:r>
      <w:r>
        <w:rPr>
          <w:rFonts w:hint="eastAsia" w:ascii="仿宋_GB2312" w:hAnsi="宋体"/>
          <w:color w:val="000000"/>
          <w:szCs w:val="32"/>
        </w:rPr>
        <w:t xml:space="preserve"> </w:t>
      </w:r>
      <w:r>
        <w:rPr>
          <w:rFonts w:hint="eastAsia" w:ascii="仿宋_GB2312" w:hAnsi="宋体" w:cs="仿宋_GB2312"/>
          <w:color w:val="000000"/>
          <w:szCs w:val="32"/>
        </w:rPr>
        <w:t>业主按</w:t>
      </w:r>
      <w:r>
        <w:rPr>
          <w:rFonts w:ascii="仿宋_GB2312" w:hAnsi="宋体" w:cs="仿宋_GB2312"/>
          <w:color w:val="000000"/>
          <w:szCs w:val="32"/>
        </w:rPr>
        <w:t>[</w:t>
      </w:r>
      <w:r>
        <w:rPr>
          <w:rFonts w:hint="eastAsia" w:ascii="仿宋_GB2312" w:hAnsi="宋体" w:cs="仿宋_GB2312"/>
          <w:color w:val="000000"/>
          <w:szCs w:val="32"/>
        </w:rPr>
        <w:t>月</w:t>
      </w:r>
      <w:r>
        <w:rPr>
          <w:rFonts w:ascii="仿宋_GB2312" w:hAnsi="宋体" w:cs="仿宋_GB2312"/>
          <w:color w:val="000000"/>
          <w:szCs w:val="32"/>
        </w:rPr>
        <w:t>][</w:t>
      </w:r>
      <w:r>
        <w:rPr>
          <w:rFonts w:hint="eastAsia" w:ascii="仿宋_GB2312" w:hAnsi="宋体" w:cs="仿宋_GB2312"/>
          <w:color w:val="000000"/>
          <w:szCs w:val="32"/>
        </w:rPr>
        <w:t>季度</w:t>
      </w:r>
      <w:r>
        <w:rPr>
          <w:rFonts w:ascii="仿宋_GB2312" w:hAnsi="宋体" w:cs="仿宋_GB2312"/>
          <w:color w:val="000000"/>
          <w:szCs w:val="32"/>
        </w:rPr>
        <w:t>][</w:t>
      </w:r>
      <w:r>
        <w:rPr>
          <w:rFonts w:hint="eastAsia" w:ascii="仿宋_GB2312" w:hAnsi="宋体" w:cs="仿宋_GB2312"/>
          <w:color w:val="000000"/>
          <w:szCs w:val="32"/>
        </w:rPr>
        <w:t>半年</w:t>
      </w:r>
      <w:r>
        <w:rPr>
          <w:rFonts w:ascii="仿宋_GB2312" w:hAnsi="宋体" w:cs="仿宋_GB2312"/>
          <w:color w:val="000000"/>
          <w:szCs w:val="32"/>
        </w:rPr>
        <w:t>][</w:t>
      </w:r>
      <w:r>
        <w:rPr>
          <w:rFonts w:hint="eastAsia" w:ascii="仿宋_GB2312" w:hAnsi="宋体" w:cs="仿宋_GB2312"/>
          <w:color w:val="000000"/>
          <w:szCs w:val="32"/>
        </w:rPr>
        <w:t>年</w:t>
      </w:r>
      <w:r>
        <w:rPr>
          <w:rFonts w:ascii="仿宋_GB2312" w:hAnsi="宋体" w:cs="仿宋_GB2312"/>
          <w:color w:val="000000"/>
          <w:szCs w:val="32"/>
        </w:rPr>
        <w:t>]</w:t>
      </w:r>
      <w:r>
        <w:rPr>
          <w:rFonts w:hint="eastAsia" w:ascii="仿宋_GB2312" w:hAnsi="宋体" w:cs="仿宋_GB2312"/>
          <w:color w:val="000000"/>
          <w:szCs w:val="32"/>
        </w:rPr>
        <w:t>交纳物业服务费，每次交费的具体时间为</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22AB1C6E">
      <w:pPr>
        <w:snapToGrid w:val="0"/>
        <w:spacing w:line="600" w:lineRule="exact"/>
        <w:ind w:firstLine="640" w:firstLineChars="200"/>
        <w:rPr>
          <w:rFonts w:ascii="仿宋_GB2312"/>
          <w:color w:val="000000"/>
          <w:szCs w:val="32"/>
        </w:rPr>
      </w:pPr>
      <w:r>
        <w:rPr>
          <w:rFonts w:hint="eastAsia" w:ascii="仿宋_GB2312" w:cs="仿宋_GB2312"/>
          <w:color w:val="000000"/>
          <w:szCs w:val="32"/>
        </w:rPr>
        <w:t>业主应当按照本合同约定按时足额支付物业服务费，逾期不支付物业服务费的，业主委员会应当督促其限期支付。</w:t>
      </w:r>
      <w:r>
        <w:rPr>
          <w:rFonts w:hint="eastAsia" w:ascii="仿宋_GB2312" w:hAnsi="宋体" w:cs="仿宋_GB2312"/>
          <w:color w:val="000000"/>
          <w:szCs w:val="32"/>
        </w:rPr>
        <w:t>业主与物业使用人约定由物业使用人支付物业服务费的，从其约定，业主负连带支付责任。</w:t>
      </w:r>
    </w:p>
    <w:p w14:paraId="3A34D5E2">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业主转让物业时，须在交易完成前结清欠费；未结清的，应与受让方书面约定交费责任，没有约定或约定不明确的，由原业主承担转让前欠费责任，受让方承担转让后费用。</w:t>
      </w:r>
    </w:p>
    <w:p w14:paraId="66DCF38B">
      <w:pPr>
        <w:adjustRightInd w:val="0"/>
        <w:snapToGrid w:val="0"/>
        <w:spacing w:line="600" w:lineRule="exact"/>
        <w:ind w:firstLine="640" w:firstLineChars="200"/>
        <w:outlineLvl w:val="2"/>
        <w:rPr>
          <w:rFonts w:ascii="仿宋_GB2312" w:hAnsi="仿宋_GB2312" w:cs="仿宋_GB2312"/>
          <w:bCs/>
          <w:color w:val="000000"/>
          <w:szCs w:val="32"/>
        </w:rPr>
      </w:pPr>
      <w:r>
        <w:rPr>
          <w:rFonts w:hint="eastAsia" w:ascii="黑体" w:hAnsi="黑体" w:eastAsia="黑体" w:cs="黑体"/>
          <w:bCs/>
          <w:color w:val="000000"/>
          <w:szCs w:val="32"/>
        </w:rPr>
        <w:t>第十二条</w:t>
      </w:r>
      <w:r>
        <w:rPr>
          <w:rFonts w:hint="eastAsia" w:ascii="黑体" w:hAnsi="黑体" w:eastAsia="黑体" w:cs="黑体"/>
          <w:b/>
          <w:bCs/>
          <w:color w:val="000000"/>
          <w:szCs w:val="32"/>
        </w:rPr>
        <w:t xml:space="preserve">  </w:t>
      </w:r>
      <w:r>
        <w:rPr>
          <w:rFonts w:hint="eastAsia" w:ascii="仿宋_GB2312" w:hAnsi="仿宋_GB2312" w:cs="仿宋_GB2312"/>
          <w:bCs/>
          <w:color w:val="000000"/>
          <w:szCs w:val="32"/>
        </w:rPr>
        <w:t>机动车停放费包括停车服务费、车位场地使用费。</w:t>
      </w:r>
    </w:p>
    <w:p w14:paraId="4403030B">
      <w:pPr>
        <w:adjustRightInd w:val="0"/>
        <w:snapToGrid w:val="0"/>
        <w:spacing w:line="600" w:lineRule="exact"/>
        <w:ind w:firstLine="640" w:firstLineChars="200"/>
        <w:rPr>
          <w:rFonts w:cs="宋体"/>
          <w:color w:val="000000"/>
          <w:kern w:val="0"/>
          <w:szCs w:val="32"/>
        </w:rPr>
      </w:pPr>
      <w:r>
        <w:rPr>
          <w:rFonts w:hint="eastAsia" w:ascii="仿宋_GB2312" w:hAnsi="仿宋_GB2312" w:cs="仿宋_GB2312"/>
          <w:color w:val="000000"/>
          <w:szCs w:val="32"/>
        </w:rPr>
        <w:t>（一）</w:t>
      </w:r>
      <w:r>
        <w:rPr>
          <w:rFonts w:hint="eastAsia" w:cs="宋体"/>
          <w:color w:val="000000"/>
          <w:kern w:val="0"/>
          <w:szCs w:val="32"/>
        </w:rPr>
        <w:t>物业服务区域内规划用于停放机动车的车库（场）内的车位，由</w:t>
      </w:r>
      <w:r>
        <w:rPr>
          <w:rFonts w:hint="eastAsia" w:ascii="宋体" w:hAnsi="宋体" w:cs="宋体"/>
          <w:color w:val="000000"/>
          <w:kern w:val="0"/>
          <w:szCs w:val="32"/>
        </w:rPr>
        <w:t>乙方提供相应服务的，车位</w:t>
      </w:r>
      <w:r>
        <w:rPr>
          <w:rFonts w:hint="eastAsia" w:cs="宋体"/>
          <w:color w:val="000000"/>
          <w:kern w:val="0"/>
          <w:szCs w:val="32"/>
        </w:rPr>
        <w:t>使用人按照</w:t>
      </w:r>
      <w:r>
        <w:rPr>
          <w:rFonts w:hint="eastAsia" w:ascii="仿宋_GB2312" w:hAnsi="仿宋_GB2312" w:cs="仿宋_GB2312"/>
          <w:color w:val="000000"/>
          <w:kern w:val="0"/>
          <w:szCs w:val="32"/>
        </w:rPr>
        <w:t>露天车位</w:t>
      </w:r>
      <w:r>
        <w:rPr>
          <w:rFonts w:hint="eastAsia" w:ascii="仿宋_GB2312" w:hAnsi="仿宋_GB2312" w:cs="仿宋_GB2312"/>
          <w:color w:val="000000"/>
          <w:kern w:val="0"/>
          <w:szCs w:val="32"/>
          <w:u w:val="single"/>
        </w:rPr>
        <w:t xml:space="preserve">  </w:t>
      </w:r>
      <w:r>
        <w:rPr>
          <w:rFonts w:hint="eastAsia" w:ascii="仿宋_GB2312" w:hAnsi="仿宋_GB2312" w:cs="仿宋_GB2312"/>
          <w:color w:val="000000"/>
          <w:kern w:val="0"/>
          <w:szCs w:val="32"/>
        </w:rPr>
        <w:t>元/月、非露天车位</w:t>
      </w:r>
      <w:r>
        <w:rPr>
          <w:rFonts w:hint="eastAsia" w:ascii="仿宋_GB2312" w:hAnsi="仿宋_GB2312" w:cs="仿宋_GB2312"/>
          <w:color w:val="000000"/>
          <w:kern w:val="0"/>
          <w:szCs w:val="32"/>
          <w:u w:val="single"/>
        </w:rPr>
        <w:t xml:space="preserve">   </w:t>
      </w:r>
      <w:r>
        <w:rPr>
          <w:rFonts w:hint="eastAsia" w:ascii="仿宋_GB2312" w:hAnsi="仿宋_GB2312" w:cs="仿宋_GB2312"/>
          <w:color w:val="000000"/>
          <w:kern w:val="0"/>
          <w:szCs w:val="32"/>
        </w:rPr>
        <w:t>元/月的标准</w:t>
      </w:r>
      <w:r>
        <w:rPr>
          <w:rFonts w:hint="eastAsia" w:cs="宋体"/>
          <w:color w:val="000000"/>
          <w:kern w:val="0"/>
          <w:szCs w:val="32"/>
        </w:rPr>
        <w:t>向乙方交纳停车服务费。</w:t>
      </w:r>
    </w:p>
    <w:p w14:paraId="37819F79">
      <w:pPr>
        <w:adjustRightInd w:val="0"/>
        <w:snapToGrid w:val="0"/>
        <w:spacing w:line="600" w:lineRule="exact"/>
        <w:ind w:firstLine="640" w:firstLineChars="200"/>
        <w:rPr>
          <w:rFonts w:cs="宋体"/>
          <w:color w:val="000000"/>
          <w:kern w:val="0"/>
          <w:szCs w:val="32"/>
        </w:rPr>
      </w:pPr>
      <w:r>
        <w:rPr>
          <w:rFonts w:hint="eastAsia" w:ascii="仿宋_GB2312" w:hAnsi="仿宋_GB2312" w:cs="仿宋_GB2312"/>
          <w:color w:val="000000"/>
          <w:szCs w:val="32"/>
        </w:rPr>
        <w:t>（二）</w:t>
      </w:r>
      <w:r>
        <w:rPr>
          <w:rFonts w:hint="eastAsia" w:cs="宋体"/>
          <w:color w:val="000000"/>
          <w:kern w:val="0"/>
          <w:szCs w:val="32"/>
        </w:rPr>
        <w:t>经业主大会同意，利用业主共有部分停放机动车，由</w:t>
      </w:r>
      <w:r>
        <w:rPr>
          <w:rFonts w:hint="eastAsia" w:ascii="宋体" w:hAnsi="宋体" w:cs="宋体"/>
          <w:color w:val="000000"/>
          <w:kern w:val="0"/>
          <w:szCs w:val="32"/>
        </w:rPr>
        <w:t>乙方提供相应服务的，车位</w:t>
      </w:r>
      <w:r>
        <w:rPr>
          <w:rFonts w:hint="eastAsia" w:cs="宋体"/>
          <w:color w:val="000000"/>
          <w:kern w:val="0"/>
          <w:szCs w:val="32"/>
        </w:rPr>
        <w:t>使用人按照</w:t>
      </w:r>
      <w:r>
        <w:rPr>
          <w:rFonts w:hint="eastAsia" w:ascii="仿宋_GB2312" w:hAnsi="仿宋_GB2312" w:cs="仿宋_GB2312"/>
          <w:color w:val="000000"/>
          <w:kern w:val="0"/>
          <w:szCs w:val="32"/>
        </w:rPr>
        <w:t>露天车位</w:t>
      </w:r>
      <w:r>
        <w:rPr>
          <w:rFonts w:hint="eastAsia" w:ascii="仿宋_GB2312" w:hAnsi="仿宋_GB2312" w:cs="仿宋_GB2312"/>
          <w:color w:val="000000"/>
          <w:kern w:val="0"/>
          <w:szCs w:val="32"/>
          <w:u w:val="single"/>
        </w:rPr>
        <w:t xml:space="preserve">   </w:t>
      </w:r>
      <w:r>
        <w:rPr>
          <w:rFonts w:hint="eastAsia" w:ascii="仿宋_GB2312" w:hAnsi="仿宋_GB2312" w:cs="仿宋_GB2312"/>
          <w:color w:val="000000"/>
          <w:kern w:val="0"/>
          <w:szCs w:val="32"/>
        </w:rPr>
        <w:t>元/月、非露天车位</w:t>
      </w:r>
      <w:r>
        <w:rPr>
          <w:rFonts w:hint="eastAsia" w:ascii="仿宋_GB2312" w:hAnsi="仿宋_GB2312" w:cs="仿宋_GB2312"/>
          <w:color w:val="000000"/>
          <w:kern w:val="0"/>
          <w:szCs w:val="32"/>
          <w:u w:val="single"/>
        </w:rPr>
        <w:t xml:space="preserve">   </w:t>
      </w:r>
      <w:r>
        <w:rPr>
          <w:rFonts w:hint="eastAsia" w:ascii="仿宋_GB2312" w:hAnsi="仿宋_GB2312" w:cs="仿宋_GB2312"/>
          <w:color w:val="000000"/>
          <w:kern w:val="0"/>
          <w:szCs w:val="32"/>
        </w:rPr>
        <w:t>元/月的标准</w:t>
      </w:r>
      <w:r>
        <w:rPr>
          <w:rFonts w:hint="eastAsia" w:cs="宋体"/>
          <w:color w:val="000000"/>
          <w:kern w:val="0"/>
          <w:szCs w:val="32"/>
        </w:rPr>
        <w:t>向乙方交纳停车服务费。</w:t>
      </w:r>
    </w:p>
    <w:p w14:paraId="2E3D4B5E">
      <w:pPr>
        <w:adjustRightInd w:val="0"/>
        <w:snapToGrid w:val="0"/>
        <w:spacing w:line="600" w:lineRule="exact"/>
        <w:ind w:firstLine="640" w:firstLineChars="200"/>
        <w:rPr>
          <w:rFonts w:ascii="仿宋_GB2312" w:hAnsi="仿宋_GB2312" w:cs="仿宋_GB2312"/>
          <w:color w:val="000000"/>
          <w:kern w:val="0"/>
          <w:szCs w:val="32"/>
        </w:rPr>
      </w:pPr>
      <w:r>
        <w:rPr>
          <w:rFonts w:hint="eastAsia" w:ascii="仿宋_GB2312" w:hAnsi="仿宋_GB2312" w:cs="仿宋_GB2312"/>
          <w:color w:val="000000"/>
          <w:kern w:val="0"/>
          <w:szCs w:val="32"/>
        </w:rPr>
        <w:t>（三）在前述车位临时停放车辆的，</w:t>
      </w:r>
      <w:r>
        <w:rPr>
          <w:rFonts w:hint="eastAsia" w:cs="宋体"/>
          <w:color w:val="000000"/>
          <w:kern w:val="0"/>
          <w:szCs w:val="32"/>
        </w:rPr>
        <w:t>车位使用人按照</w:t>
      </w:r>
      <w:r>
        <w:rPr>
          <w:rFonts w:hint="eastAsia" w:ascii="仿宋_GB2312" w:hAnsi="宋体" w:cs="仿宋_GB2312"/>
          <w:color w:val="000000"/>
          <w:kern w:val="0"/>
          <w:szCs w:val="32"/>
          <w:u w:val="single"/>
        </w:rPr>
        <w:t xml:space="preserve">     </w:t>
      </w:r>
      <w:r>
        <w:rPr>
          <w:rFonts w:hint="eastAsia" w:ascii="仿宋_GB2312" w:hAnsi="仿宋_GB2312" w:cs="仿宋_GB2312"/>
          <w:color w:val="000000"/>
          <w:kern w:val="0"/>
          <w:szCs w:val="32"/>
        </w:rPr>
        <w:t>元的标准</w:t>
      </w:r>
      <w:r>
        <w:rPr>
          <w:rFonts w:hint="eastAsia" w:cs="宋体"/>
          <w:color w:val="000000"/>
          <w:kern w:val="0"/>
          <w:szCs w:val="32"/>
        </w:rPr>
        <w:t>向乙方交纳停车服务费。</w:t>
      </w:r>
    </w:p>
    <w:p w14:paraId="38EABB00">
      <w:pPr>
        <w:adjustRightInd w:val="0"/>
        <w:snapToGrid w:val="0"/>
        <w:spacing w:line="600" w:lineRule="exact"/>
        <w:ind w:firstLine="640" w:firstLineChars="200"/>
        <w:rPr>
          <w:rFonts w:ascii="仿宋_GB2312" w:hAnsi="仿宋_GB2312" w:cs="仿宋_GB2312"/>
          <w:color w:val="000000"/>
          <w:kern w:val="0"/>
          <w:szCs w:val="32"/>
        </w:rPr>
      </w:pPr>
      <w:r>
        <w:rPr>
          <w:rFonts w:hint="eastAsia" w:ascii="仿宋_GB2312" w:hAnsi="仿宋_GB2312" w:cs="仿宋_GB2312"/>
          <w:color w:val="000000"/>
          <w:kern w:val="0"/>
          <w:szCs w:val="32"/>
        </w:rPr>
        <w:t>（四）车位使用费用的收取应遵循公开、透明的原则，乙方应在物业区域内显著位置公示收费标准和使用情况。</w:t>
      </w:r>
    </w:p>
    <w:p w14:paraId="6287BC78">
      <w:pPr>
        <w:adjustRightInd w:val="0"/>
        <w:snapToGrid w:val="0"/>
        <w:spacing w:line="600" w:lineRule="exact"/>
        <w:ind w:firstLine="640" w:firstLineChars="200"/>
        <w:rPr>
          <w:rFonts w:ascii="仿宋_GB2312" w:hAnsi="宋体" w:cs="仿宋_GB2312"/>
          <w:color w:val="000000"/>
          <w:kern w:val="0"/>
          <w:szCs w:val="32"/>
        </w:rPr>
      </w:pPr>
      <w:r>
        <w:rPr>
          <w:rFonts w:hint="eastAsia" w:ascii="仿宋_GB2312" w:hAnsi="仿宋_GB2312" w:cs="仿宋_GB2312"/>
          <w:color w:val="000000"/>
          <w:kern w:val="0"/>
          <w:szCs w:val="32"/>
        </w:rPr>
        <w:t>（五）费用调整方式：</w:t>
      </w:r>
      <w:r>
        <w:rPr>
          <w:rFonts w:hint="eastAsia" w:ascii="仿宋_GB2312" w:hAnsi="宋体" w:cs="仿宋_GB2312"/>
          <w:color w:val="000000"/>
          <w:kern w:val="0"/>
          <w:szCs w:val="32"/>
          <w:u w:val="single"/>
        </w:rPr>
        <w:t xml:space="preserve">                </w:t>
      </w:r>
      <w:r>
        <w:rPr>
          <w:rFonts w:hint="eastAsia" w:ascii="仿宋_GB2312" w:hAnsi="宋体" w:cs="仿宋_GB2312"/>
          <w:color w:val="000000"/>
          <w:kern w:val="0"/>
          <w:szCs w:val="32"/>
        </w:rPr>
        <w:t>。</w:t>
      </w:r>
    </w:p>
    <w:p w14:paraId="596F57C4">
      <w:pPr>
        <w:adjustRightInd w:val="0"/>
        <w:snapToGrid w:val="0"/>
        <w:spacing w:line="600" w:lineRule="exact"/>
        <w:ind w:firstLine="640" w:firstLineChars="200"/>
        <w:rPr>
          <w:rFonts w:ascii="仿宋_GB2312" w:hAnsi="仿宋_GB2312" w:cs="仿宋_GB2312"/>
          <w:color w:val="000000"/>
          <w:szCs w:val="32"/>
        </w:rPr>
      </w:pPr>
      <w:r>
        <w:rPr>
          <w:rFonts w:hint="eastAsia" w:ascii="黑体" w:hAnsi="黑体" w:eastAsia="黑体" w:cs="黑体"/>
          <w:color w:val="000000"/>
          <w:kern w:val="0"/>
          <w:szCs w:val="32"/>
        </w:rPr>
        <w:t xml:space="preserve">第十三条  </w:t>
      </w:r>
      <w:r>
        <w:rPr>
          <w:rFonts w:hint="eastAsia" w:ascii="仿宋_GB2312" w:hAnsi="仿宋_GB2312" w:cs="仿宋_GB2312"/>
          <w:color w:val="000000"/>
          <w:szCs w:val="32"/>
        </w:rPr>
        <w:t>物业服务区域内公共耗能费用的分摊(如公共耗能计算在物业服务费中，则该条不再规定，可填写无)：</w:t>
      </w:r>
    </w:p>
    <w:p w14:paraId="3A55A1D6">
      <w:pPr>
        <w:adjustRightInd w:val="0"/>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公共耗能费用是指：</w:t>
      </w:r>
      <w:r>
        <w:rPr>
          <w:rFonts w:hint="eastAsia" w:ascii="仿宋_GB2312" w:hAnsi="宋体" w:cs="仿宋_GB2312"/>
          <w:color w:val="000000"/>
          <w:szCs w:val="32"/>
          <w:u w:val="single"/>
        </w:rPr>
        <w:t xml:space="preserve">                         </w:t>
      </w:r>
      <w:r>
        <w:rPr>
          <w:rFonts w:hint="eastAsia" w:ascii="仿宋_GB2312" w:hAnsi="仿宋_GB2312" w:cs="仿宋_GB2312"/>
          <w:color w:val="000000"/>
          <w:szCs w:val="32"/>
        </w:rPr>
        <w:t>。</w:t>
      </w:r>
    </w:p>
    <w:p w14:paraId="5FFE5ADD">
      <w:pPr>
        <w:adjustRightInd w:val="0"/>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分摊方式和收取标准如下：</w:t>
      </w:r>
      <w:r>
        <w:rPr>
          <w:rFonts w:hint="eastAsia" w:ascii="仿宋_GB2312" w:hAnsi="宋体" w:cs="仿宋_GB2312"/>
          <w:color w:val="000000"/>
          <w:szCs w:val="32"/>
          <w:u w:val="single"/>
        </w:rPr>
        <w:t xml:space="preserve">                   </w:t>
      </w:r>
      <w:r>
        <w:rPr>
          <w:rFonts w:hint="eastAsia" w:ascii="仿宋_GB2312" w:hAnsi="仿宋_GB2312" w:cs="仿宋_GB2312"/>
          <w:color w:val="000000"/>
          <w:szCs w:val="32"/>
        </w:rPr>
        <w:t>。</w:t>
      </w:r>
    </w:p>
    <w:p w14:paraId="1C2288A6">
      <w:pPr>
        <w:spacing w:line="600" w:lineRule="exact"/>
        <w:ind w:firstLine="640" w:firstLineChars="200"/>
        <w:rPr>
          <w:color w:val="000000"/>
          <w:szCs w:val="32"/>
        </w:rPr>
      </w:pPr>
      <w:r>
        <w:rPr>
          <w:rFonts w:hint="eastAsia" w:ascii="黑体" w:hAnsi="黑体" w:eastAsia="黑体" w:cs="黑体"/>
          <w:color w:val="000000"/>
          <w:szCs w:val="32"/>
        </w:rPr>
        <w:t xml:space="preserve">第十四条  </w:t>
      </w:r>
      <w:r>
        <w:rPr>
          <w:rFonts w:hint="eastAsia" w:ascii="仿宋_GB2312" w:hAnsi="宋体" w:cs="仿宋_GB2312"/>
          <w:color w:val="000000"/>
          <w:szCs w:val="32"/>
        </w:rPr>
        <w:t>物业服务区域内，供水、供电、供气、供热、通讯、有线电视等有关费用应当由最终用户承担；业主自用的由业主承担；乙方使用的由乙方承担；</w:t>
      </w:r>
      <w:r>
        <w:rPr>
          <w:rFonts w:ascii="仿宋_GB2312" w:hAnsi="宋体" w:cs="仿宋_GB2312"/>
          <w:color w:val="000000"/>
          <w:kern w:val="0"/>
          <w:szCs w:val="32"/>
          <w:lang w:bidi="ar"/>
        </w:rPr>
        <w:t>实行总分表计量的，总表</w:t>
      </w:r>
      <w:r>
        <w:rPr>
          <w:rFonts w:hint="eastAsia" w:ascii="仿宋_GB2312" w:hAnsi="宋体" w:cs="仿宋_GB2312"/>
          <w:color w:val="000000"/>
          <w:kern w:val="0"/>
          <w:szCs w:val="32"/>
          <w:lang w:bidi="ar"/>
        </w:rPr>
        <w:t>和分表间产生的计量差，由</w:t>
      </w:r>
      <w:r>
        <w:rPr>
          <w:rFonts w:hint="eastAsia" w:ascii="仿宋_GB2312" w:hAnsi="宋体" w:cs="仿宋_GB2312"/>
          <w:color w:val="000000"/>
          <w:kern w:val="0"/>
          <w:szCs w:val="32"/>
          <w:u w:val="single"/>
          <w:lang w:bidi="ar"/>
        </w:rPr>
        <w:t xml:space="preserve">      </w:t>
      </w:r>
      <w:r>
        <w:rPr>
          <w:rFonts w:hint="eastAsia" w:ascii="仿宋_GB2312" w:hAnsi="宋体" w:cs="仿宋_GB2312"/>
          <w:color w:val="000000"/>
          <w:kern w:val="0"/>
          <w:szCs w:val="32"/>
          <w:lang w:bidi="ar"/>
        </w:rPr>
        <w:t>承担。</w:t>
      </w:r>
    </w:p>
    <w:p w14:paraId="50A3DC98">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公共水电费由</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据实分摊。</w:t>
      </w:r>
    </w:p>
    <w:p w14:paraId="168BB66E">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乙方不得与电信、互联网、广播电视等业务经营者签署排他性、垄断性协议，或者以其他方式实施排他性、垄断性行为。</w:t>
      </w:r>
    </w:p>
    <w:p w14:paraId="54CB0179">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乙方接受供水、供电、供气、供热、通讯、有线电视等专业经营单位委托代收费用的，不得向业主收取手续费等额外费用，不得限制或变相限制业主或物业使用人购买或使用。</w:t>
      </w:r>
    </w:p>
    <w:p w14:paraId="35EF231E">
      <w:pPr>
        <w:snapToGrid w:val="0"/>
        <w:spacing w:line="600" w:lineRule="exact"/>
        <w:ind w:firstLine="640" w:firstLineChars="200"/>
        <w:rPr>
          <w:rFonts w:ascii="仿宋_GB2312" w:hAnsi="宋体"/>
          <w:color w:val="000000"/>
          <w:spacing w:val="-10"/>
          <w:szCs w:val="32"/>
        </w:rPr>
      </w:pPr>
      <w:r>
        <w:rPr>
          <w:rFonts w:hint="eastAsia" w:ascii="黑体" w:hAnsi="黑体" w:eastAsia="黑体" w:cs="黑体"/>
          <w:color w:val="000000"/>
          <w:szCs w:val="32"/>
        </w:rPr>
        <w:t xml:space="preserve">第十五条 </w:t>
      </w:r>
      <w:r>
        <w:rPr>
          <w:rFonts w:hint="eastAsia" w:ascii="黑体" w:hAnsi="黑体" w:eastAsia="黑体" w:cs="黑体"/>
          <w:color w:val="000000"/>
          <w:spacing w:val="-10"/>
          <w:szCs w:val="32"/>
        </w:rPr>
        <w:t xml:space="preserve"> </w:t>
      </w:r>
      <w:r>
        <w:rPr>
          <w:rFonts w:hint="eastAsia" w:ascii="仿宋_GB2312" w:hAnsi="宋体" w:cs="仿宋_GB2312"/>
          <w:color w:val="000000"/>
          <w:szCs w:val="32"/>
        </w:rPr>
        <w:t>物业装饰装修前，乙方与业主签订书面装饰装修服务协议，乙方应当告知相关的禁止行为和注意事项，并将装饰装修的时间、地点等情况在业主所在楼内公示。除约定收取[装修保证金]</w:t>
      </w:r>
      <w:r>
        <w:rPr>
          <w:rFonts w:hint="eastAsia" w:ascii="仿宋_GB2312" w:hAnsi="宋体" w:cs="仿宋_GB2312"/>
          <w:color w:val="000000"/>
          <w:szCs w:val="32"/>
          <w:u w:val="single"/>
        </w:rPr>
        <w:t xml:space="preserve">     </w:t>
      </w:r>
      <w:r>
        <w:rPr>
          <w:rFonts w:ascii="仿宋_GB2312" w:hAnsi="宋体" w:cs="仿宋_GB2312"/>
          <w:color w:val="000000"/>
          <w:szCs w:val="32"/>
          <w:u w:val="single"/>
        </w:rPr>
        <w:softHyphen/>
      </w:r>
      <w:r>
        <w:rPr>
          <w:rFonts w:hint="eastAsia" w:ascii="仿宋_GB2312" w:hAnsi="宋体" w:cs="仿宋_GB2312"/>
          <w:color w:val="000000"/>
          <w:szCs w:val="32"/>
          <w:u w:val="single"/>
        </w:rPr>
        <w:softHyphen/>
      </w:r>
      <w:r>
        <w:rPr>
          <w:rFonts w:hint="eastAsia" w:ascii="仿宋_GB2312" w:hAnsi="宋体" w:cs="仿宋_GB2312"/>
          <w:color w:val="000000"/>
          <w:szCs w:val="32"/>
          <w:u w:val="single"/>
        </w:rPr>
        <w:softHyphen/>
      </w:r>
      <w:r>
        <w:rPr>
          <w:rFonts w:hint="eastAsia" w:ascii="仿宋_GB2312" w:hAnsi="宋体" w:cs="仿宋_GB2312"/>
          <w:color w:val="000000"/>
          <w:szCs w:val="32"/>
          <w:u w:val="single"/>
        </w:rPr>
        <w:softHyphen/>
      </w:r>
      <w:r>
        <w:rPr>
          <w:rFonts w:hint="eastAsia" w:ascii="仿宋_GB2312" w:hAnsi="宋体" w:cs="仿宋_GB2312"/>
          <w:color w:val="000000"/>
          <w:szCs w:val="32"/>
          <w:u w:val="single"/>
        </w:rPr>
        <w:softHyphen/>
      </w:r>
      <w:r>
        <w:rPr>
          <w:rFonts w:hint="eastAsia" w:ascii="仿宋_GB2312" w:hAnsi="宋体" w:cs="仿宋_GB2312"/>
          <w:color w:val="000000"/>
          <w:szCs w:val="32"/>
          <w:u w:val="single"/>
        </w:rPr>
        <w:softHyphen/>
      </w:r>
      <w:r>
        <w:rPr>
          <w:rFonts w:hint="eastAsia" w:ascii="仿宋_GB2312" w:hAnsi="宋体" w:cs="仿宋_GB2312"/>
          <w:color w:val="000000"/>
          <w:szCs w:val="32"/>
          <w:u w:val="single"/>
        </w:rPr>
        <w:softHyphen/>
      </w:r>
      <w:r>
        <w:rPr>
          <w:rFonts w:ascii="仿宋_GB2312" w:hAnsi="宋体" w:cs="仿宋_GB2312"/>
          <w:color w:val="000000"/>
          <w:szCs w:val="32"/>
          <w:u w:val="single"/>
        </w:rPr>
        <w:softHyphen/>
      </w:r>
      <w:r>
        <w:rPr>
          <w:rFonts w:hint="eastAsia" w:ascii="仿宋_GB2312" w:hAnsi="宋体" w:cs="仿宋_GB2312"/>
          <w:color w:val="000000"/>
          <w:szCs w:val="32"/>
          <w:u w:val="single"/>
        </w:rPr>
        <w:softHyphen/>
      </w:r>
      <w:r>
        <w:rPr>
          <w:rFonts w:hint="eastAsia" w:ascii="仿宋_GB2312" w:hAnsi="宋体" w:cs="仿宋_GB2312"/>
          <w:color w:val="000000"/>
          <w:szCs w:val="32"/>
          <w:u w:val="single"/>
        </w:rPr>
        <w:softHyphen/>
      </w:r>
      <w:r>
        <w:rPr>
          <w:rFonts w:hint="eastAsia" w:ascii="仿宋_GB2312" w:hAnsi="宋体" w:cs="仿宋_GB2312"/>
          <w:color w:val="000000"/>
          <w:szCs w:val="32"/>
          <w:u w:val="single"/>
        </w:rPr>
        <w:t xml:space="preserve">        </w:t>
      </w:r>
      <w:r>
        <w:rPr>
          <w:rFonts w:hint="eastAsia" w:ascii="仿宋_GB2312" w:hAnsi="宋体" w:cs="仿宋_GB2312"/>
          <w:color w:val="000000"/>
          <w:szCs w:val="32"/>
        </w:rPr>
        <w:t>元、[装修垃圾清运费]</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元，乙方不得另行收取其他任何费用。如收取装修保证金的，未造成共有部分和公用设施设备、承重结构损坏、违反管理规约及装饰装修服务协议的，乙方应当在完工后</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日内将装修保证金全额退还业主。</w:t>
      </w:r>
    </w:p>
    <w:p w14:paraId="097CA6FF">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第十六条  </w:t>
      </w:r>
      <w:r>
        <w:rPr>
          <w:rFonts w:hint="eastAsia" w:ascii="仿宋_GB2312" w:hAnsi="宋体" w:cs="仿宋_GB2312"/>
          <w:color w:val="000000"/>
          <w:szCs w:val="32"/>
        </w:rPr>
        <w:t>业主转让或出租其物业时，应当将本合同以及有关费用缴纳情况等事项告知受让人或者承租人，并自买卖合同或租赁合同签订之日起</w:t>
      </w:r>
      <w:r>
        <w:rPr>
          <w:rFonts w:ascii="仿宋_GB2312" w:hAnsi="宋体" w:cs="仿宋_GB2312"/>
          <w:color w:val="000000"/>
          <w:szCs w:val="32"/>
        </w:rPr>
        <w:t>15</w:t>
      </w:r>
      <w:r>
        <w:rPr>
          <w:rFonts w:hint="eastAsia" w:ascii="仿宋_GB2312" w:hAnsi="宋体" w:cs="仿宋_GB2312"/>
          <w:color w:val="000000"/>
          <w:szCs w:val="32"/>
        </w:rPr>
        <w:t>日内，将买卖或者出租情况告知乙方。</w:t>
      </w:r>
    </w:p>
    <w:p w14:paraId="4076C4A2">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第十七条  </w:t>
      </w:r>
      <w:r>
        <w:rPr>
          <w:rFonts w:hint="eastAsia" w:ascii="仿宋_GB2312" w:hAnsi="宋体" w:cs="仿宋_GB2312"/>
          <w:color w:val="000000"/>
          <w:szCs w:val="32"/>
        </w:rPr>
        <w:t>本合同服务期限内，项目经理行业信用应当满足以下条件：</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 xml:space="preserve">。                                              </w:t>
      </w:r>
    </w:p>
    <w:p w14:paraId="4DE4EE98">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乙方不得擅自更换项目经理，确需更换的，应及时告知甲方。（项目负责人及主要专业技术与管理人员基本情况见附件8）。</w:t>
      </w:r>
    </w:p>
    <w:p w14:paraId="7E2BB8B1">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乙方不得擅自减少其他物业服务人员，因采用新技术、新方法确需增加或减少其他物业服务人员的，应当事先向甲方书面说明理由并征得同意。</w:t>
      </w:r>
    </w:p>
    <w:p w14:paraId="1ECC6E32">
      <w:pPr>
        <w:spacing w:line="600" w:lineRule="exact"/>
        <w:ind w:firstLine="640" w:firstLineChars="200"/>
        <w:rPr>
          <w:color w:val="000000"/>
          <w:szCs w:val="32"/>
        </w:rPr>
      </w:pPr>
    </w:p>
    <w:p w14:paraId="14578AE5">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第五章  公共收益管理</w:t>
      </w:r>
    </w:p>
    <w:p w14:paraId="30C5B2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rFonts w:eastAsia="黑体"/>
          <w:color w:val="000000"/>
          <w:szCs w:val="32"/>
        </w:rPr>
        <w:t>第</w:t>
      </w:r>
      <w:r>
        <w:rPr>
          <w:rFonts w:hint="eastAsia" w:eastAsia="黑体"/>
          <w:color w:val="000000"/>
          <w:szCs w:val="32"/>
        </w:rPr>
        <w:t>十八</w:t>
      </w:r>
      <w:r>
        <w:rPr>
          <w:rFonts w:eastAsia="黑体"/>
          <w:color w:val="000000"/>
          <w:szCs w:val="32"/>
        </w:rPr>
        <w:t>条</w:t>
      </w:r>
      <w:r>
        <w:rPr>
          <w:bCs/>
          <w:color w:val="000000"/>
          <w:szCs w:val="32"/>
        </w:rPr>
        <w:t xml:space="preserve">  </w:t>
      </w:r>
      <w:r>
        <w:rPr>
          <w:rFonts w:hint="eastAsia"/>
          <w:bCs/>
          <w:color w:val="000000"/>
          <w:szCs w:val="32"/>
        </w:rPr>
        <w:t>甲方将</w:t>
      </w:r>
      <w:r>
        <w:rPr>
          <w:bCs/>
          <w:color w:val="000000"/>
          <w:szCs w:val="32"/>
        </w:rPr>
        <w:t>本物业管理区域下列第</w:t>
      </w:r>
      <w:r>
        <w:rPr>
          <w:bCs/>
          <w:color w:val="000000"/>
          <w:szCs w:val="32"/>
          <w:u w:val="single"/>
        </w:rPr>
        <w:t xml:space="preserve">        </w:t>
      </w:r>
      <w:r>
        <w:rPr>
          <w:bCs/>
          <w:color w:val="000000"/>
          <w:szCs w:val="32"/>
        </w:rPr>
        <w:t>项共有物业委托乙方提供经营服务，经营不得损害业主的共同利益：</w:t>
      </w:r>
    </w:p>
    <w:p w14:paraId="4C2F0A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（一）利用业主共有道路或场地停放车辆所得的场地使用费；</w:t>
      </w:r>
    </w:p>
    <w:p w14:paraId="134A7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（二）利用业主共有场地开展商业活动及投放快递柜、饮水机等设施所得的收益；</w:t>
      </w:r>
    </w:p>
    <w:p w14:paraId="07381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（三）利用业主共有场地、灯箱、单元门、外墙、屋面、围墙、大门道闸等设置户外广告，以及利用电梯轿厢、单元门厅、走廊通道等设置室内广告所得的收益；</w:t>
      </w:r>
    </w:p>
    <w:p w14:paraId="673999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（四）利用业主共有的文体设施所得的收益；</w:t>
      </w:r>
    </w:p>
    <w:p w14:paraId="29BCB6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（五）利用业主共有的配套房屋所得的收益；</w:t>
      </w:r>
    </w:p>
    <w:p w14:paraId="45E8B9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（六）对通信运营商设立的通信基站等设备所收取的占地费或场地使用费；</w:t>
      </w:r>
    </w:p>
    <w:p w14:paraId="2CC6A6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（七）相关单位支付的归业主的违约金、赔偿金、补偿费、旧设备残值等；</w:t>
      </w:r>
    </w:p>
    <w:p w14:paraId="17B2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 xml:space="preserve">（八）公共收益的存储利息； </w:t>
      </w:r>
    </w:p>
    <w:p w14:paraId="753E4A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（九）其他依法属于业主共有的收入。</w:t>
      </w:r>
    </w:p>
    <w:p w14:paraId="25DF7B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bCs/>
          <w:color w:val="000000"/>
          <w:szCs w:val="32"/>
        </w:rPr>
        <w:t>前款约定的经营项目的经营收入，乙方应当单独列账，扣除乙方的经营成本、法定税费后，归业主共同所有，其中经营成本</w:t>
      </w:r>
      <w:r>
        <w:rPr>
          <w:rFonts w:hint="eastAsia"/>
          <w:bCs/>
          <w:color w:val="000000"/>
          <w:szCs w:val="32"/>
        </w:rPr>
        <w:t>标准为：</w:t>
      </w:r>
      <w:r>
        <w:rPr>
          <w:rFonts w:hint="eastAsia"/>
          <w:bCs/>
          <w:color w:val="000000"/>
          <w:szCs w:val="32"/>
          <w:u w:val="single"/>
        </w:rPr>
        <w:t xml:space="preserve">         </w:t>
      </w:r>
      <w:r>
        <w:rPr>
          <w:rFonts w:hint="eastAsia"/>
          <w:bCs/>
          <w:color w:val="000000"/>
          <w:szCs w:val="32"/>
        </w:rPr>
        <w:t>；所得收益相关税费由</w:t>
      </w:r>
      <w:r>
        <w:rPr>
          <w:rFonts w:hint="eastAsia"/>
          <w:bCs/>
          <w:color w:val="000000"/>
          <w:szCs w:val="32"/>
          <w:u w:val="single"/>
          <w:lang w:val="en-US" w:eastAsia="zh-CN"/>
        </w:rPr>
        <w:t xml:space="preserve">       </w:t>
      </w:r>
      <w:r>
        <w:rPr>
          <w:rFonts w:hint="eastAsia"/>
          <w:bCs/>
          <w:color w:val="000000"/>
          <w:szCs w:val="32"/>
        </w:rPr>
        <w:t>承担。</w:t>
      </w:r>
    </w:p>
    <w:p w14:paraId="211EF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600" w:lineRule="exact"/>
        <w:ind w:firstLine="640" w:firstLineChars="200"/>
        <w:rPr>
          <w:bCs/>
          <w:color w:val="000000"/>
          <w:szCs w:val="32"/>
        </w:rPr>
      </w:pPr>
      <w:r>
        <w:rPr>
          <w:rFonts w:ascii="黑体" w:hAnsi="黑体" w:eastAsia="黑体" w:cs="黑体"/>
          <w:color w:val="000000"/>
          <w:szCs w:val="32"/>
        </w:rPr>
        <w:t>第</w:t>
      </w:r>
      <w:r>
        <w:rPr>
          <w:rFonts w:hint="eastAsia" w:ascii="黑体" w:hAnsi="黑体" w:eastAsia="黑体" w:cs="黑体"/>
          <w:color w:val="000000"/>
          <w:szCs w:val="32"/>
        </w:rPr>
        <w:t>十九</w:t>
      </w:r>
      <w:r>
        <w:rPr>
          <w:rFonts w:ascii="黑体" w:hAnsi="黑体" w:eastAsia="黑体" w:cs="黑体"/>
          <w:color w:val="000000"/>
          <w:szCs w:val="32"/>
        </w:rPr>
        <w:t>条</w:t>
      </w:r>
      <w:r>
        <w:rPr>
          <w:color w:val="000000"/>
          <w:szCs w:val="32"/>
        </w:rPr>
        <w:t xml:space="preserve">  业主共有物业</w:t>
      </w:r>
      <w:r>
        <w:rPr>
          <w:bCs/>
          <w:color w:val="000000"/>
          <w:szCs w:val="32"/>
        </w:rPr>
        <w:t>经营收入归业主共同所有的部分，按照下列第</w:t>
      </w:r>
      <w:r>
        <w:rPr>
          <w:bCs/>
          <w:color w:val="000000"/>
          <w:szCs w:val="32"/>
          <w:u w:val="single"/>
        </w:rPr>
        <w:t xml:space="preserve">       </w:t>
      </w:r>
      <w:r>
        <w:rPr>
          <w:bCs/>
          <w:color w:val="000000"/>
          <w:szCs w:val="32"/>
        </w:rPr>
        <w:t>项约定的方式进行管理：</w:t>
      </w:r>
    </w:p>
    <w:p w14:paraId="2093A571">
      <w:pPr>
        <w:snapToGrid w:val="0"/>
        <w:spacing w:line="600" w:lineRule="exact"/>
        <w:ind w:firstLine="616" w:firstLineChars="200"/>
        <w:outlineLvl w:val="1"/>
        <w:rPr>
          <w:color w:val="000000"/>
          <w:szCs w:val="32"/>
        </w:rPr>
      </w:pPr>
      <w:r>
        <w:rPr>
          <w:color w:val="000000"/>
          <w:spacing w:val="-6"/>
          <w:szCs w:val="32"/>
        </w:rPr>
        <w:t>（一）由甲方按规定开设</w:t>
      </w:r>
      <w:r>
        <w:rPr>
          <w:rFonts w:hint="eastAsia"/>
          <w:color w:val="000000"/>
          <w:spacing w:val="-6"/>
          <w:szCs w:val="32"/>
        </w:rPr>
        <w:t>专用银行</w:t>
      </w:r>
      <w:r>
        <w:rPr>
          <w:color w:val="000000"/>
          <w:spacing w:val="-6"/>
          <w:szCs w:val="32"/>
        </w:rPr>
        <w:t>账户自行管理；</w:t>
      </w:r>
    </w:p>
    <w:p w14:paraId="0FFC2A1A">
      <w:pPr>
        <w:snapToGrid w:val="0"/>
        <w:spacing w:line="600" w:lineRule="exact"/>
        <w:ind w:firstLine="640" w:firstLineChars="200"/>
        <w:outlineLvl w:val="1"/>
        <w:rPr>
          <w:color w:val="000000"/>
          <w:szCs w:val="32"/>
        </w:rPr>
      </w:pPr>
      <w:r>
        <w:rPr>
          <w:color w:val="000000"/>
          <w:szCs w:val="32"/>
        </w:rPr>
        <w:t>（</w:t>
      </w:r>
      <w:r>
        <w:rPr>
          <w:rFonts w:hint="eastAsia"/>
          <w:color w:val="000000"/>
          <w:szCs w:val="32"/>
        </w:rPr>
        <w:t>二</w:t>
      </w:r>
      <w:r>
        <w:rPr>
          <w:color w:val="000000"/>
          <w:szCs w:val="32"/>
        </w:rPr>
        <w:t>）由甲乙双方共同开设共管</w:t>
      </w:r>
      <w:r>
        <w:rPr>
          <w:rFonts w:hint="eastAsia"/>
          <w:color w:val="000000"/>
          <w:szCs w:val="32"/>
        </w:rPr>
        <w:t>银行</w:t>
      </w:r>
      <w:r>
        <w:rPr>
          <w:color w:val="000000"/>
          <w:szCs w:val="32"/>
        </w:rPr>
        <w:t>账户进行管理；</w:t>
      </w:r>
    </w:p>
    <w:p w14:paraId="32F9BA47">
      <w:pPr>
        <w:snapToGrid w:val="0"/>
        <w:spacing w:line="600" w:lineRule="exact"/>
        <w:ind w:firstLine="640" w:firstLineChars="200"/>
        <w:rPr>
          <w:color w:val="000000"/>
          <w:szCs w:val="32"/>
        </w:rPr>
      </w:pPr>
      <w:r>
        <w:rPr>
          <w:rFonts w:hint="eastAsia"/>
          <w:color w:val="000000"/>
          <w:szCs w:val="32"/>
        </w:rPr>
        <w:t>（三）</w:t>
      </w:r>
      <w:r>
        <w:rPr>
          <w:color w:val="000000"/>
          <w:szCs w:val="32"/>
        </w:rPr>
        <w:t>由乙方开设专用</w:t>
      </w:r>
      <w:r>
        <w:rPr>
          <w:rFonts w:hint="eastAsia"/>
          <w:color w:val="000000"/>
          <w:szCs w:val="32"/>
        </w:rPr>
        <w:t>银行</w:t>
      </w:r>
      <w:r>
        <w:rPr>
          <w:color w:val="000000"/>
          <w:szCs w:val="32"/>
        </w:rPr>
        <w:t>账户代为管理。</w:t>
      </w:r>
    </w:p>
    <w:p w14:paraId="6695395B">
      <w:pPr>
        <w:snapToGrid w:val="0"/>
        <w:spacing w:line="600" w:lineRule="exact"/>
        <w:ind w:firstLine="640" w:firstLineChars="200"/>
        <w:rPr>
          <w:color w:val="000000"/>
          <w:szCs w:val="32"/>
        </w:rPr>
      </w:pPr>
      <w:r>
        <w:rPr>
          <w:rFonts w:hint="eastAsia"/>
          <w:color w:val="000000"/>
          <w:szCs w:val="32"/>
        </w:rPr>
        <w:t>账户名称：</w:t>
      </w:r>
      <w:r>
        <w:rPr>
          <w:bCs/>
          <w:color w:val="000000"/>
          <w:szCs w:val="32"/>
          <w:u w:val="single"/>
        </w:rPr>
        <w:t xml:space="preserve">                  </w:t>
      </w:r>
      <w:r>
        <w:rPr>
          <w:rFonts w:hint="eastAsia"/>
          <w:bCs/>
          <w:color w:val="000000"/>
          <w:szCs w:val="32"/>
          <w:u w:val="single"/>
        </w:rPr>
        <w:t xml:space="preserve">           </w:t>
      </w:r>
      <w:r>
        <w:rPr>
          <w:bCs/>
          <w:color w:val="000000"/>
          <w:szCs w:val="32"/>
          <w:u w:val="single"/>
        </w:rPr>
        <w:t xml:space="preserve">         </w:t>
      </w:r>
    </w:p>
    <w:p w14:paraId="3E330E30">
      <w:pPr>
        <w:snapToGrid w:val="0"/>
        <w:spacing w:line="600" w:lineRule="exact"/>
        <w:ind w:firstLine="640" w:firstLineChars="200"/>
        <w:rPr>
          <w:color w:val="000000"/>
          <w:szCs w:val="32"/>
        </w:rPr>
      </w:pPr>
      <w:r>
        <w:rPr>
          <w:rFonts w:hint="eastAsia"/>
          <w:color w:val="000000"/>
          <w:szCs w:val="32"/>
        </w:rPr>
        <w:t>账    号：</w:t>
      </w:r>
      <w:r>
        <w:rPr>
          <w:bCs/>
          <w:color w:val="000000"/>
          <w:szCs w:val="32"/>
          <w:u w:val="single"/>
        </w:rPr>
        <w:t xml:space="preserve">                  </w:t>
      </w:r>
      <w:r>
        <w:rPr>
          <w:rFonts w:hint="eastAsia"/>
          <w:bCs/>
          <w:color w:val="000000"/>
          <w:szCs w:val="32"/>
          <w:u w:val="single"/>
        </w:rPr>
        <w:t xml:space="preserve">            </w:t>
      </w:r>
      <w:r>
        <w:rPr>
          <w:bCs/>
          <w:color w:val="000000"/>
          <w:szCs w:val="32"/>
          <w:u w:val="single"/>
        </w:rPr>
        <w:t xml:space="preserve">        </w:t>
      </w:r>
    </w:p>
    <w:p w14:paraId="450DB230">
      <w:pPr>
        <w:snapToGrid w:val="0"/>
        <w:spacing w:line="600" w:lineRule="exact"/>
        <w:ind w:firstLine="640" w:firstLineChars="200"/>
        <w:rPr>
          <w:rFonts w:ascii="黑体" w:hAnsi="黑体" w:eastAsia="黑体" w:cs="黑体"/>
          <w:color w:val="000000"/>
          <w:szCs w:val="32"/>
        </w:rPr>
      </w:pPr>
      <w:r>
        <w:rPr>
          <w:rFonts w:hint="eastAsia"/>
          <w:color w:val="000000"/>
          <w:szCs w:val="32"/>
        </w:rPr>
        <w:t>开 户 行：</w:t>
      </w:r>
      <w:r>
        <w:rPr>
          <w:bCs/>
          <w:color w:val="000000"/>
          <w:szCs w:val="32"/>
          <w:u w:val="single"/>
        </w:rPr>
        <w:t xml:space="preserve">                 </w:t>
      </w:r>
      <w:r>
        <w:rPr>
          <w:rFonts w:hint="eastAsia"/>
          <w:bCs/>
          <w:color w:val="000000"/>
          <w:szCs w:val="32"/>
          <w:u w:val="single"/>
        </w:rPr>
        <w:t xml:space="preserve">     </w:t>
      </w:r>
      <w:r>
        <w:rPr>
          <w:bCs/>
          <w:color w:val="000000"/>
          <w:szCs w:val="32"/>
          <w:u w:val="single"/>
        </w:rPr>
        <w:t xml:space="preserve">                </w:t>
      </w:r>
    </w:p>
    <w:p w14:paraId="3A02D991">
      <w:pPr>
        <w:snapToGrid w:val="0"/>
        <w:spacing w:line="600" w:lineRule="exact"/>
        <w:ind w:firstLine="640" w:firstLineChars="200"/>
        <w:rPr>
          <w:color w:val="000000"/>
          <w:szCs w:val="32"/>
        </w:rPr>
      </w:pPr>
      <w:r>
        <w:rPr>
          <w:rFonts w:ascii="黑体" w:hAnsi="黑体" w:eastAsia="黑体" w:cs="黑体"/>
          <w:color w:val="000000"/>
          <w:szCs w:val="32"/>
        </w:rPr>
        <w:t>第二十条</w:t>
      </w:r>
      <w:r>
        <w:rPr>
          <w:color w:val="000000"/>
          <w:szCs w:val="32"/>
        </w:rPr>
        <w:t xml:space="preserve">  </w:t>
      </w:r>
      <w:r>
        <w:rPr>
          <w:rFonts w:hint="eastAsia"/>
          <w:color w:val="000000"/>
          <w:szCs w:val="32"/>
        </w:rPr>
        <w:t>业主有权查询与公共收益相关的收支明细、合同或者协议等材料。甲乙双方应</w:t>
      </w:r>
      <w:r>
        <w:rPr>
          <w:rFonts w:hint="eastAsia"/>
          <w:color w:val="000000"/>
          <w:szCs w:val="32"/>
          <w:u w:val="single"/>
        </w:rPr>
        <w:t xml:space="preserve">    </w:t>
      </w:r>
      <w:r>
        <w:rPr>
          <w:rFonts w:ascii="仿宋_GB2312" w:hAnsi="宋体" w:cs="仿宋_GB2312"/>
          <w:color w:val="000000"/>
          <w:szCs w:val="32"/>
        </w:rPr>
        <w:t>[</w:t>
      </w:r>
      <w:r>
        <w:rPr>
          <w:rFonts w:hint="eastAsia" w:ascii="仿宋_GB2312" w:hAnsi="宋体" w:cs="仿宋_GB2312"/>
          <w:color w:val="000000"/>
          <w:szCs w:val="32"/>
        </w:rPr>
        <w:t>每月</w:t>
      </w:r>
      <w:r>
        <w:rPr>
          <w:rFonts w:ascii="仿宋_GB2312" w:hAnsi="宋体" w:cs="仿宋_GB2312"/>
          <w:color w:val="000000"/>
          <w:szCs w:val="32"/>
        </w:rPr>
        <w:t>][</w:t>
      </w:r>
      <w:r>
        <w:rPr>
          <w:rFonts w:hint="eastAsia" w:ascii="仿宋_GB2312" w:hAnsi="宋体" w:cs="仿宋_GB2312"/>
          <w:color w:val="000000"/>
          <w:szCs w:val="32"/>
        </w:rPr>
        <w:t>每季</w:t>
      </w:r>
      <w:r>
        <w:rPr>
          <w:rFonts w:ascii="仿宋_GB2312" w:hAnsi="宋体" w:cs="仿宋_GB2312"/>
          <w:color w:val="000000"/>
          <w:szCs w:val="32"/>
        </w:rPr>
        <w:t>]</w:t>
      </w:r>
      <w:r>
        <w:rPr>
          <w:color w:val="000000"/>
          <w:szCs w:val="32"/>
        </w:rPr>
        <w:t>向全体业主公示各类经营项目的经营收入、已缴纳的税费、乙方已提取的经营服务成本、归业主共有的收入及利息等明细，接受业主监督。公示期不得少于</w:t>
      </w:r>
      <w:r>
        <w:rPr>
          <w:rFonts w:hint="eastAsia"/>
          <w:color w:val="000000"/>
          <w:szCs w:val="32"/>
        </w:rPr>
        <w:t>30</w:t>
      </w:r>
      <w:r>
        <w:rPr>
          <w:color w:val="000000"/>
          <w:szCs w:val="32"/>
        </w:rPr>
        <w:t>日</w:t>
      </w:r>
      <w:r>
        <w:rPr>
          <w:rFonts w:hint="eastAsia"/>
          <w:color w:val="000000"/>
          <w:szCs w:val="32"/>
        </w:rPr>
        <w:t>。</w:t>
      </w:r>
      <w:r>
        <w:rPr>
          <w:color w:val="000000"/>
          <w:szCs w:val="32"/>
        </w:rPr>
        <w:t>业主对公示内容有异议的，乙方应自收到异议之日起</w:t>
      </w:r>
      <w:r>
        <w:rPr>
          <w:rFonts w:hint="eastAsia"/>
          <w:color w:val="000000"/>
          <w:szCs w:val="32"/>
        </w:rPr>
        <w:t>5</w:t>
      </w:r>
      <w:r>
        <w:rPr>
          <w:color w:val="000000"/>
          <w:szCs w:val="32"/>
        </w:rPr>
        <w:t>日内予以书面答复和说明。</w:t>
      </w:r>
    </w:p>
    <w:p w14:paraId="3A640504">
      <w:pPr>
        <w:snapToGrid w:val="0"/>
        <w:spacing w:line="600" w:lineRule="exact"/>
        <w:ind w:firstLine="640" w:firstLineChars="200"/>
        <w:rPr>
          <w:color w:val="000000"/>
          <w:szCs w:val="32"/>
        </w:rPr>
      </w:pPr>
      <w:r>
        <w:rPr>
          <w:color w:val="000000"/>
          <w:szCs w:val="32"/>
        </w:rPr>
        <w:t>归业主共同所有的经营收入应按法律、法规的规定和业主大会的决定使用，甲乙双方均不得擅自使用。</w:t>
      </w:r>
    </w:p>
    <w:p w14:paraId="1A5C6EEF">
      <w:pPr>
        <w:snapToGrid w:val="0"/>
        <w:spacing w:line="600" w:lineRule="exact"/>
        <w:ind w:firstLine="640" w:firstLineChars="200"/>
        <w:rPr>
          <w:color w:val="000000"/>
          <w:szCs w:val="32"/>
        </w:rPr>
      </w:pPr>
    </w:p>
    <w:p w14:paraId="62E2074F">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第六章 物业服务信息公示公开</w:t>
      </w:r>
    </w:p>
    <w:p w14:paraId="7C8A02DC">
      <w:pPr>
        <w:spacing w:line="600" w:lineRule="exact"/>
        <w:ind w:firstLine="640" w:firstLineChars="200"/>
        <w:rPr>
          <w:rFonts w:ascii="仿宋_GB2312" w:hAnsi="仿宋_GB2312" w:cs="仿宋_GB2312"/>
          <w:color w:val="000000"/>
          <w:szCs w:val="32"/>
        </w:rPr>
      </w:pPr>
      <w:r>
        <w:rPr>
          <w:rFonts w:hint="eastAsia" w:ascii="黑体" w:hAnsi="黑体" w:eastAsia="黑体" w:cs="黑体"/>
          <w:color w:val="000000"/>
          <w:szCs w:val="32"/>
        </w:rPr>
        <w:t xml:space="preserve">第二十一条  </w:t>
      </w:r>
      <w:r>
        <w:rPr>
          <w:rFonts w:hint="eastAsia" w:ascii="仿宋_GB2312" w:hAnsi="仿宋_GB2312" w:cs="仿宋_GB2312"/>
          <w:color w:val="000000"/>
          <w:szCs w:val="32"/>
        </w:rPr>
        <w:t>乙方应当按照相关法律、法规规定，在住宅小区内显著位置公示相关信息，可以同时通过电子信息技术的方式告知全体业主。</w:t>
      </w:r>
    </w:p>
    <w:p w14:paraId="4603D97C">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（一）须持续公示的信息：</w:t>
      </w:r>
    </w:p>
    <w:p w14:paraId="2C054FF2">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1.乙方的营业执照、项目负责人的基本情况、联系方式以及物业服务投诉电话；</w:t>
      </w:r>
    </w:p>
    <w:p w14:paraId="4EA2EBD1">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2.物业服务合同约定的服务内容、服务标准、收费项目、收费标准、收费方式等;</w:t>
      </w:r>
    </w:p>
    <w:p w14:paraId="26760A06">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3.电梯、消防、监控等专业设施设备的日常维修保养单位名称、资质、联系方式、应急处置方案等；</w:t>
      </w:r>
    </w:p>
    <w:p w14:paraId="4D6DC743">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4.房屋修缮、装饰装修以及使用过程中的结构变动等安全事项;</w:t>
      </w:r>
    </w:p>
    <w:p w14:paraId="14FFA82E">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5.其他依法应当公示的内容；</w:t>
      </w:r>
    </w:p>
    <w:p w14:paraId="56073D94">
      <w:pPr>
        <w:tabs>
          <w:tab w:val="left" w:pos="5812"/>
        </w:tabs>
        <w:snapToGrid w:val="0"/>
        <w:spacing w:line="600" w:lineRule="exact"/>
        <w:ind w:firstLine="640" w:firstLineChars="200"/>
        <w:rPr>
          <w:rFonts w:ascii="仿宋_GB2312" w:hAnsi="仿宋_GB2312" w:cs="仿宋_GB2312"/>
          <w:color w:val="000000"/>
          <w:kern w:val="1"/>
          <w:szCs w:val="32"/>
        </w:rPr>
      </w:pPr>
      <w:r>
        <w:rPr>
          <w:rFonts w:hint="eastAsia" w:ascii="仿宋_GB2312" w:hAnsi="仿宋_GB2312" w:cs="仿宋_GB2312"/>
          <w:color w:val="000000"/>
          <w:szCs w:val="32"/>
        </w:rPr>
        <w:t>6.其他：</w:t>
      </w:r>
      <w:r>
        <w:rPr>
          <w:rFonts w:hint="eastAsia" w:ascii="仿宋_GB2312" w:hAnsi="仿宋_GB2312" w:cs="仿宋_GB2312"/>
          <w:color w:val="000000"/>
          <w:szCs w:val="32"/>
          <w:u w:val="single"/>
        </w:rPr>
        <w:t xml:space="preserve">                                </w:t>
      </w:r>
      <w:r>
        <w:rPr>
          <w:rFonts w:hint="eastAsia" w:ascii="仿宋_GB2312" w:hAnsi="仿宋_GB2312" w:cs="仿宋_GB2312"/>
          <w:color w:val="000000"/>
          <w:kern w:val="1"/>
          <w:szCs w:val="32"/>
        </w:rPr>
        <w:t>。</w:t>
      </w:r>
    </w:p>
    <w:p w14:paraId="072EE14C">
      <w:pPr>
        <w:snapToGrid w:val="0"/>
        <w:spacing w:line="600" w:lineRule="exact"/>
        <w:ind w:firstLine="640" w:firstLineChars="200"/>
        <w:rPr>
          <w:rFonts w:ascii="仿宋_GB2312" w:hAnsi="仿宋_GB2312" w:cs="仿宋_GB2312"/>
          <w:b/>
          <w:bCs/>
          <w:color w:val="000000"/>
          <w:szCs w:val="32"/>
        </w:rPr>
      </w:pPr>
      <w:r>
        <w:rPr>
          <w:rFonts w:hint="eastAsia" w:ascii="仿宋_GB2312" w:hAnsi="仿宋_GB2312" w:cs="仿宋_GB2312"/>
          <w:color w:val="000000"/>
          <w:szCs w:val="32"/>
        </w:rPr>
        <w:t>上述公示信息如有发生变化，乙方应于该情况发生的</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日内在本物业服务区域进行公示。</w:t>
      </w:r>
    </w:p>
    <w:p w14:paraId="72D9544D">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（二）须定期公示的信息：</w:t>
      </w:r>
    </w:p>
    <w:p w14:paraId="45762E44">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1.每年在</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月</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日前向本物业区域全体业主公布上一年度物业服务合同履行情况、项目总收支情况、物业公用部位、公用设施设备经营所得收益和支出情况，公示期不少于30日；</w:t>
      </w:r>
    </w:p>
    <w:p w14:paraId="2C8EE6CE">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2.</w:t>
      </w:r>
      <w:r>
        <w:rPr>
          <w:rFonts w:hint="eastAsia" w:ascii="仿宋_GB2312" w:hAnsi="宋体" w:cs="仿宋_GB2312"/>
          <w:color w:val="000000"/>
          <w:szCs w:val="32"/>
        </w:rPr>
        <w:t>每半年将向本物业区域全体业主公示住宅专项维修资金使用情况，物业区域内停车位、车库的销售、出租、分配以及使用情况，公示期不少于30日</w:t>
      </w:r>
      <w:r>
        <w:rPr>
          <w:rFonts w:hint="eastAsia" w:ascii="仿宋_GB2312" w:hAnsi="仿宋_GB2312" w:cs="仿宋_GB2312"/>
          <w:color w:val="000000"/>
          <w:szCs w:val="32"/>
        </w:rPr>
        <w:t>；</w:t>
      </w:r>
    </w:p>
    <w:p w14:paraId="2F20A1F0">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3.</w:t>
      </w:r>
      <w:r>
        <w:rPr>
          <w:rFonts w:ascii="仿宋_GB2312" w:hAnsi="宋体" w:cs="仿宋_GB2312"/>
          <w:color w:val="000000"/>
          <w:szCs w:val="32"/>
        </w:rPr>
        <w:t>[</w:t>
      </w:r>
      <w:r>
        <w:rPr>
          <w:rFonts w:hint="eastAsia" w:ascii="仿宋_GB2312" w:hAnsi="宋体" w:cs="仿宋_GB2312"/>
          <w:color w:val="000000"/>
          <w:szCs w:val="32"/>
        </w:rPr>
        <w:t>每月</w:t>
      </w:r>
      <w:r>
        <w:rPr>
          <w:rFonts w:ascii="仿宋_GB2312" w:hAnsi="宋体" w:cs="仿宋_GB2312"/>
          <w:color w:val="000000"/>
          <w:szCs w:val="32"/>
        </w:rPr>
        <w:t>][</w:t>
      </w:r>
      <w:r>
        <w:rPr>
          <w:rFonts w:hint="eastAsia" w:ascii="仿宋_GB2312" w:hAnsi="宋体" w:cs="仿宋_GB2312"/>
          <w:color w:val="000000"/>
          <w:szCs w:val="32"/>
        </w:rPr>
        <w:t>每季</w:t>
      </w:r>
      <w:r>
        <w:rPr>
          <w:rFonts w:ascii="仿宋_GB2312" w:hAnsi="宋体" w:cs="仿宋_GB2312"/>
          <w:color w:val="000000"/>
          <w:szCs w:val="32"/>
        </w:rPr>
        <w:t>]</w:t>
      </w:r>
      <w:r>
        <w:rPr>
          <w:rFonts w:hint="eastAsia" w:ascii="仿宋_GB2312" w:hAnsi="仿宋_GB2312" w:cs="仿宋_GB2312"/>
          <w:color w:val="000000"/>
          <w:szCs w:val="32"/>
        </w:rPr>
        <w:t>前向本物业服务区域全体业主公示业主交纳物业服务费用、公共水电分摊费用情况，公示期不少于15日；</w:t>
      </w:r>
    </w:p>
    <w:p w14:paraId="2CA09B6E">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4.其他依法应当公示的内容。</w:t>
      </w:r>
    </w:p>
    <w:p w14:paraId="655BC4FD">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（三）依申请公开的信息：除上述信息外，业主申请公开本合同第八条中的信息，乙方应当依法如实提供。</w:t>
      </w:r>
    </w:p>
    <w:p w14:paraId="3DAE317D">
      <w:pPr>
        <w:spacing w:line="600" w:lineRule="exact"/>
        <w:ind w:firstLine="640" w:firstLineChars="200"/>
        <w:rPr>
          <w:rFonts w:ascii="仿宋_GB2312" w:hAnsi="仿宋_GB2312" w:cs="仿宋_GB2312"/>
          <w:color w:val="000000"/>
          <w:szCs w:val="32"/>
        </w:rPr>
      </w:pPr>
      <w:r>
        <w:rPr>
          <w:rFonts w:hint="eastAsia" w:ascii="黑体" w:hAnsi="黑体" w:eastAsia="黑体" w:cs="黑体"/>
          <w:color w:val="000000"/>
          <w:szCs w:val="32"/>
        </w:rPr>
        <w:t xml:space="preserve">第二十二条  </w:t>
      </w:r>
      <w:r>
        <w:rPr>
          <w:rFonts w:hint="eastAsia" w:ascii="仿宋_GB2312" w:hAnsi="仿宋_GB2312" w:cs="仿宋_GB2312"/>
          <w:color w:val="000000"/>
          <w:szCs w:val="32"/>
        </w:rPr>
        <w:t>采取酬金制、信托制方式的，乙方还需定期公示以下信息：</w:t>
      </w:r>
    </w:p>
    <w:p w14:paraId="1CCE510B">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（一）每年在</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月</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日前向本物业服务区域全体业主公布物业服务年度计划、支出年度预算、上年度支出决算，公示期不少于30日；</w:t>
      </w:r>
    </w:p>
    <w:p w14:paraId="42D2349C">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（二）每半年向全体业主公布物业服务费的收支情况，公示期不少于30日；</w:t>
      </w:r>
    </w:p>
    <w:p w14:paraId="6503BA08">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（三）双方约定需聘请专业机构对物业服务费年度预决算和物业服务费收支情况进行审计的，乙方应及时进行公布，公示期不少于30日。</w:t>
      </w:r>
    </w:p>
    <w:p w14:paraId="1CF697F8">
      <w:pPr>
        <w:snapToGrid w:val="0"/>
        <w:spacing w:line="600" w:lineRule="exact"/>
        <w:ind w:firstLine="640" w:firstLineChars="200"/>
        <w:outlineLvl w:val="0"/>
        <w:rPr>
          <w:rFonts w:eastAsia="黑体"/>
          <w:bCs/>
          <w:color w:val="000000"/>
          <w:kern w:val="0"/>
          <w:szCs w:val="32"/>
        </w:rPr>
      </w:pPr>
    </w:p>
    <w:p w14:paraId="5D72EBC2">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第七章</w:t>
      </w:r>
      <w:r>
        <w:rPr>
          <w:rFonts w:ascii="黑体" w:hAnsi="黑体" w:eastAsia="黑体" w:cs="黑体"/>
          <w:color w:val="000000"/>
          <w:szCs w:val="32"/>
        </w:rPr>
        <w:t xml:space="preserve"> 物业保修与维修服务</w:t>
      </w:r>
    </w:p>
    <w:p w14:paraId="3DF7EB5E">
      <w:pPr>
        <w:snapToGrid w:val="0"/>
        <w:spacing w:line="600" w:lineRule="exact"/>
        <w:ind w:firstLine="640" w:firstLineChars="200"/>
        <w:rPr>
          <w:rFonts w:ascii="仿宋_GB2312" w:hAnsi="仿宋_GB2312" w:cs="仿宋_GB2312"/>
          <w:color w:val="000000"/>
          <w:szCs w:val="32"/>
        </w:rPr>
      </w:pPr>
      <w:r>
        <w:rPr>
          <w:rFonts w:ascii="黑体" w:hAnsi="黑体" w:eastAsia="黑体" w:cs="黑体"/>
          <w:color w:val="000000"/>
          <w:szCs w:val="32"/>
        </w:rPr>
        <w:t>第二十</w:t>
      </w:r>
      <w:r>
        <w:rPr>
          <w:rFonts w:hint="eastAsia" w:ascii="黑体" w:hAnsi="黑体" w:eastAsia="黑体" w:cs="黑体"/>
          <w:color w:val="000000"/>
          <w:szCs w:val="32"/>
        </w:rPr>
        <w:t>三</w:t>
      </w:r>
      <w:r>
        <w:rPr>
          <w:rFonts w:ascii="黑体" w:hAnsi="黑体" w:eastAsia="黑体" w:cs="黑体"/>
          <w:color w:val="000000"/>
          <w:szCs w:val="32"/>
        </w:rPr>
        <w:t>条</w:t>
      </w:r>
      <w:r>
        <w:rPr>
          <w:bCs/>
          <w:color w:val="000000"/>
          <w:kern w:val="0"/>
          <w:szCs w:val="32"/>
        </w:rPr>
        <w:t xml:space="preserve">  </w:t>
      </w:r>
      <w:r>
        <w:rPr>
          <w:rFonts w:ascii="仿宋_GB2312" w:hAnsi="仿宋_GB2312" w:cs="仿宋_GB2312"/>
          <w:color w:val="000000"/>
          <w:szCs w:val="32"/>
        </w:rPr>
        <w:t>本</w:t>
      </w:r>
      <w:r>
        <w:rPr>
          <w:rFonts w:hint="eastAsia" w:ascii="仿宋_GB2312" w:hAnsi="仿宋_GB2312" w:cs="仿宋_GB2312"/>
          <w:color w:val="000000"/>
          <w:szCs w:val="32"/>
        </w:rPr>
        <w:t>物业服务区域</w:t>
      </w:r>
      <w:r>
        <w:rPr>
          <w:rFonts w:ascii="仿宋_GB2312" w:hAnsi="仿宋_GB2312" w:cs="仿宋_GB2312"/>
          <w:color w:val="000000"/>
          <w:szCs w:val="32"/>
        </w:rPr>
        <w:t>内</w:t>
      </w:r>
      <w:r>
        <w:rPr>
          <w:rFonts w:hint="eastAsia" w:ascii="仿宋_GB2312"/>
          <w:color w:val="000000"/>
          <w:szCs w:val="32"/>
        </w:rPr>
        <w:t>共有部分</w:t>
      </w:r>
      <w:r>
        <w:rPr>
          <w:rFonts w:hint="eastAsia" w:ascii="仿宋_GB2312" w:hAnsi="仿宋_GB2312" w:cs="仿宋_GB2312"/>
          <w:color w:val="000000"/>
          <w:szCs w:val="32"/>
        </w:rPr>
        <w:t>维修、养护费用:</w:t>
      </w:r>
    </w:p>
    <w:p w14:paraId="0000ECC4">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（一）保修期内物业的维修养护执行建筑工程保修的有关规定，由建设单位承担保修责任；</w:t>
      </w:r>
    </w:p>
    <w:p w14:paraId="7CFC4FB5">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（二）保修期满后发生的房屋共有部分、</w:t>
      </w:r>
      <w:r>
        <w:rPr>
          <w:rFonts w:hint="eastAsia" w:ascii="仿宋_GB2312" w:hAnsi="宋体" w:cs="仿宋_GB2312"/>
          <w:color w:val="000000"/>
          <w:szCs w:val="32"/>
        </w:rPr>
        <w:t>公用设施</w:t>
      </w:r>
      <w:r>
        <w:rPr>
          <w:rFonts w:hint="eastAsia" w:ascii="仿宋_GB2312" w:hAnsi="仿宋_GB2312" w:cs="仿宋_GB2312"/>
          <w:color w:val="000000"/>
          <w:szCs w:val="32"/>
        </w:rPr>
        <w:t>的维修、更新和改造，需动用住宅专项维修资金的，按照有关住宅专项维修资金管理规定执行。</w:t>
      </w:r>
    </w:p>
    <w:p w14:paraId="4D98B0C6">
      <w:pPr>
        <w:spacing w:line="600" w:lineRule="exact"/>
        <w:ind w:firstLine="640" w:firstLineChars="200"/>
        <w:rPr>
          <w:color w:val="000000"/>
          <w:szCs w:val="32"/>
        </w:rPr>
      </w:pPr>
      <w:r>
        <w:rPr>
          <w:rFonts w:hint="eastAsia" w:ascii="黑体" w:hAnsi="黑体" w:eastAsia="黑体" w:cs="黑体"/>
          <w:color w:val="000000"/>
          <w:szCs w:val="32"/>
        </w:rPr>
        <w:t>第二十四条</w:t>
      </w:r>
      <w:r>
        <w:rPr>
          <w:rFonts w:hint="eastAsia"/>
          <w:color w:val="000000"/>
          <w:szCs w:val="32"/>
        </w:rPr>
        <w:t xml:space="preserve">  物业服务区域</w:t>
      </w:r>
      <w:r>
        <w:rPr>
          <w:color w:val="000000"/>
          <w:szCs w:val="32"/>
        </w:rPr>
        <w:t>内</w:t>
      </w:r>
      <w:r>
        <w:rPr>
          <w:rFonts w:hint="eastAsia"/>
          <w:color w:val="000000"/>
          <w:szCs w:val="32"/>
        </w:rPr>
        <w:t>出现</w:t>
      </w:r>
      <w:r>
        <w:rPr>
          <w:rFonts w:hint="eastAsia" w:ascii="仿宋_GB2312" w:hAnsi="仿宋_GB2312" w:cs="仿宋_GB2312"/>
          <w:color w:val="000000"/>
          <w:szCs w:val="32"/>
        </w:rPr>
        <w:t>共有部分</w:t>
      </w:r>
      <w:r>
        <w:rPr>
          <w:rFonts w:hint="eastAsia"/>
          <w:color w:val="000000"/>
          <w:szCs w:val="32"/>
        </w:rPr>
        <w:t>发生突发性损坏，不及时维修、更新和改造将危害人身、建筑安全或严重影响业主正常生活等紧急情况的，乙方应第一时间向甲方汇报，并采取应急措施。甲方接到乙方汇报后，应当即时商定解决方案并采取应急措施。</w:t>
      </w:r>
    </w:p>
    <w:p w14:paraId="52A3B16D">
      <w:pPr>
        <w:spacing w:line="600" w:lineRule="exact"/>
        <w:ind w:firstLine="640" w:firstLineChars="200"/>
        <w:rPr>
          <w:color w:val="000000"/>
          <w:szCs w:val="32"/>
        </w:rPr>
      </w:pPr>
      <w:r>
        <w:rPr>
          <w:rFonts w:hint="eastAsia"/>
          <w:color w:val="000000"/>
          <w:szCs w:val="32"/>
        </w:rPr>
        <w:t>消防设施、雨水管网、污水管网等</w:t>
      </w:r>
      <w:r>
        <w:rPr>
          <w:rFonts w:hint="eastAsia" w:ascii="仿宋_GB2312" w:hAnsi="宋体" w:cs="仿宋_GB2312"/>
          <w:color w:val="000000"/>
          <w:szCs w:val="32"/>
        </w:rPr>
        <w:t>公用设施</w:t>
      </w:r>
      <w:r>
        <w:rPr>
          <w:rFonts w:hint="eastAsia"/>
          <w:color w:val="000000"/>
          <w:szCs w:val="32"/>
        </w:rPr>
        <w:t>经过业主专有部分的，相关业主有看护责任，属非人为损坏的，相关业主应及时向乙方报告，由乙方负责处理；属人为损坏的，相关业主应承担责任。</w:t>
      </w:r>
    </w:p>
    <w:p w14:paraId="6A0F6FF5">
      <w:pPr>
        <w:spacing w:line="600" w:lineRule="exact"/>
        <w:ind w:firstLine="640" w:firstLineChars="200"/>
        <w:rPr>
          <w:color w:val="000000"/>
          <w:szCs w:val="32"/>
        </w:rPr>
      </w:pPr>
      <w:r>
        <w:rPr>
          <w:rFonts w:hint="eastAsia" w:ascii="黑体" w:hAnsi="黑体" w:eastAsia="黑体" w:cs="黑体"/>
          <w:color w:val="000000"/>
          <w:szCs w:val="32"/>
        </w:rPr>
        <w:t>第二十五条</w:t>
      </w:r>
      <w:r>
        <w:rPr>
          <w:rFonts w:hint="eastAsia"/>
          <w:color w:val="000000"/>
          <w:szCs w:val="32"/>
        </w:rPr>
        <w:t xml:space="preserve">  本物业服务区域内对</w:t>
      </w:r>
      <w:r>
        <w:rPr>
          <w:rFonts w:hint="eastAsia" w:ascii="仿宋_GB2312"/>
          <w:color w:val="000000"/>
          <w:szCs w:val="32"/>
        </w:rPr>
        <w:t>共有部分和</w:t>
      </w:r>
      <w:r>
        <w:rPr>
          <w:rFonts w:hint="eastAsia" w:ascii="仿宋_GB2312" w:hAnsi="宋体" w:cs="仿宋_GB2312"/>
          <w:color w:val="000000"/>
          <w:szCs w:val="32"/>
        </w:rPr>
        <w:t>公用设施</w:t>
      </w:r>
      <w:r>
        <w:rPr>
          <w:rFonts w:hint="eastAsia" w:ascii="仿宋_GB2312"/>
          <w:color w:val="000000"/>
          <w:szCs w:val="32"/>
        </w:rPr>
        <w:t>单次</w:t>
      </w:r>
      <w:r>
        <w:rPr>
          <w:rFonts w:hint="eastAsia"/>
          <w:color w:val="000000"/>
          <w:szCs w:val="32"/>
        </w:rPr>
        <w:t>购买相关物品或者维修费用在</w:t>
      </w:r>
      <w:r>
        <w:rPr>
          <w:rFonts w:hint="eastAsia" w:ascii="宋体" w:hAnsi="宋体" w:cs="宋体"/>
          <w:color w:val="000000"/>
          <w:szCs w:val="32"/>
          <w:u w:val="single"/>
        </w:rPr>
        <w:t> </w:t>
      </w:r>
      <w:r>
        <w:rPr>
          <w:rFonts w:hint="eastAsia" w:ascii="仿宋_GB2312" w:hAnsi="仿宋_GB2312" w:cs="仿宋_GB2312"/>
          <w:color w:val="000000"/>
          <w:szCs w:val="32"/>
          <w:u w:val="single"/>
        </w:rPr>
        <w:t xml:space="preserve"> </w:t>
      </w:r>
      <w:r>
        <w:rPr>
          <w:rFonts w:hint="eastAsia" w:ascii="宋体" w:hAnsi="宋体" w:cs="宋体"/>
          <w:color w:val="000000"/>
          <w:szCs w:val="32"/>
          <w:u w:val="single"/>
        </w:rPr>
        <w:t>   </w:t>
      </w:r>
      <w:r>
        <w:rPr>
          <w:rFonts w:hint="eastAsia"/>
          <w:color w:val="000000"/>
          <w:szCs w:val="32"/>
        </w:rPr>
        <w:t>元以下的为日常维护，由乙方承担，乙方不得将属于单次购买或者单次维修的项目</w:t>
      </w:r>
      <w:r>
        <w:rPr>
          <w:rFonts w:hint="eastAsia"/>
          <w:szCs w:val="32"/>
        </w:rPr>
        <w:t>合并</w:t>
      </w:r>
      <w:r>
        <w:rPr>
          <w:rFonts w:hint="eastAsia"/>
          <w:color w:val="000000"/>
          <w:szCs w:val="32"/>
        </w:rPr>
        <w:t>实施；日常维护范围外的</w:t>
      </w:r>
      <w:r>
        <w:rPr>
          <w:rFonts w:hint="eastAsia" w:ascii="仿宋_GB2312" w:hAnsi="仿宋_GB2312" w:cs="仿宋_GB2312"/>
          <w:color w:val="000000"/>
          <w:szCs w:val="32"/>
        </w:rPr>
        <w:t>共有部分、</w:t>
      </w:r>
      <w:r>
        <w:rPr>
          <w:rFonts w:hint="eastAsia" w:ascii="仿宋_GB2312" w:hAnsi="宋体" w:cs="仿宋_GB2312"/>
          <w:color w:val="000000"/>
          <w:szCs w:val="32"/>
        </w:rPr>
        <w:t>公用设施</w:t>
      </w:r>
      <w:r>
        <w:rPr>
          <w:rFonts w:hint="eastAsia" w:ascii="仿宋_GB2312" w:hAnsi="仿宋_GB2312" w:cs="仿宋_GB2312"/>
          <w:color w:val="000000"/>
          <w:szCs w:val="32"/>
        </w:rPr>
        <w:t>的维修、更新和改造</w:t>
      </w:r>
      <w:r>
        <w:rPr>
          <w:rFonts w:hint="eastAsia"/>
          <w:color w:val="000000"/>
          <w:szCs w:val="32"/>
        </w:rPr>
        <w:t>费用由甲方承担，费用从小区公共收益或</w:t>
      </w:r>
      <w:r>
        <w:rPr>
          <w:rFonts w:hint="eastAsia" w:ascii="仿宋_GB2312" w:hAnsi="仿宋_GB2312" w:cs="仿宋_GB2312"/>
          <w:color w:val="000000"/>
          <w:szCs w:val="32"/>
        </w:rPr>
        <w:t>住宅专项</w:t>
      </w:r>
      <w:r>
        <w:rPr>
          <w:rFonts w:hint="eastAsia"/>
          <w:color w:val="000000"/>
          <w:szCs w:val="32"/>
        </w:rPr>
        <w:t>维修资金中支出。</w:t>
      </w:r>
    </w:p>
    <w:p w14:paraId="5E7E3A3A">
      <w:pPr>
        <w:spacing w:line="600" w:lineRule="exact"/>
        <w:ind w:firstLine="640" w:firstLineChars="200"/>
        <w:rPr>
          <w:color w:val="000000"/>
          <w:szCs w:val="32"/>
        </w:rPr>
      </w:pPr>
      <w:r>
        <w:rPr>
          <w:rFonts w:hint="eastAsia"/>
          <w:color w:val="000000"/>
          <w:szCs w:val="32"/>
        </w:rPr>
        <w:t>确因甲方隐蔽工程施工（如水电管线铺设、墙体内部结构改造等）、防水施工（卫生间、厨房等区域防水处理）不符合规范，导致出现渗水、邻里纠纷、公共设施损坏等问题的，由施工行为责任主体承担维修费用。</w:t>
      </w:r>
    </w:p>
    <w:p w14:paraId="4EA315B0">
      <w:pPr>
        <w:spacing w:line="600" w:lineRule="exact"/>
        <w:ind w:firstLine="640" w:firstLineChars="200"/>
        <w:rPr>
          <w:rFonts w:ascii="仿宋_GB2312" w:hAnsi="宋体"/>
          <w:color w:val="000000"/>
          <w:szCs w:val="32"/>
        </w:rPr>
      </w:pPr>
      <w:r>
        <w:rPr>
          <w:rFonts w:ascii="黑体" w:hAnsi="黑体" w:eastAsia="黑体" w:cs="黑体"/>
          <w:color w:val="000000"/>
          <w:szCs w:val="32"/>
        </w:rPr>
        <w:t>第二十</w:t>
      </w:r>
      <w:r>
        <w:rPr>
          <w:rFonts w:hint="eastAsia" w:ascii="黑体" w:hAnsi="黑体" w:eastAsia="黑体" w:cs="黑体"/>
          <w:color w:val="000000"/>
          <w:szCs w:val="32"/>
        </w:rPr>
        <w:t>六</w:t>
      </w:r>
      <w:r>
        <w:rPr>
          <w:rFonts w:ascii="黑体" w:hAnsi="黑体" w:eastAsia="黑体" w:cs="黑体"/>
          <w:color w:val="000000"/>
          <w:szCs w:val="32"/>
        </w:rPr>
        <w:t>条</w:t>
      </w:r>
      <w:r>
        <w:rPr>
          <w:color w:val="000000"/>
          <w:szCs w:val="32"/>
        </w:rPr>
        <w:t xml:space="preserve">  甲方或乙方组织实施单项维修、应急维修工程的，应</w:t>
      </w:r>
      <w:r>
        <w:rPr>
          <w:rFonts w:hint="eastAsia"/>
          <w:color w:val="000000"/>
          <w:szCs w:val="32"/>
        </w:rPr>
        <w:t>依法</w:t>
      </w:r>
      <w:r>
        <w:rPr>
          <w:color w:val="000000"/>
          <w:szCs w:val="32"/>
        </w:rPr>
        <w:t>选择确定有相应资质或能力的施工单位，并在施工合同中约定施工质量要求及保修期限、履约保证等权利、义务。</w:t>
      </w:r>
      <w:r>
        <w:rPr>
          <w:bCs/>
          <w:color w:val="000000"/>
          <w:kern w:val="0"/>
          <w:szCs w:val="32"/>
        </w:rPr>
        <w:t>不得在组织编制年度日常小额维修、单项维修、应急维修等项目实施方案中弄虚作假，或与施工单位串通虚报维修项目、虚增维修工作量、虚增维修经费。</w:t>
      </w:r>
    </w:p>
    <w:p w14:paraId="1E417217">
      <w:pPr>
        <w:snapToGrid w:val="0"/>
        <w:spacing w:line="600" w:lineRule="exact"/>
        <w:ind w:firstLine="640" w:firstLineChars="200"/>
        <w:rPr>
          <w:rFonts w:ascii="黑体" w:hAnsi="黑体" w:eastAsia="黑体" w:cs="黑体"/>
          <w:color w:val="000000"/>
          <w:kern w:val="0"/>
          <w:szCs w:val="32"/>
        </w:rPr>
      </w:pPr>
    </w:p>
    <w:p w14:paraId="1AFEEF38">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第八章  权利与义务</w:t>
      </w:r>
    </w:p>
    <w:p w14:paraId="6784338F">
      <w:pPr>
        <w:spacing w:line="600" w:lineRule="exact"/>
        <w:ind w:firstLine="640" w:firstLineChars="200"/>
        <w:rPr>
          <w:rFonts w:ascii="仿宋_GB2312" w:hAnsi="宋体" w:cs="仿宋_GB2312"/>
          <w:color w:val="000000"/>
          <w:kern w:val="0"/>
          <w:szCs w:val="32"/>
          <w:lang w:bidi="ar"/>
        </w:rPr>
      </w:pPr>
      <w:r>
        <w:rPr>
          <w:rFonts w:ascii="黑体" w:hAnsi="黑体" w:eastAsia="黑体" w:cs="黑体"/>
          <w:color w:val="000000"/>
          <w:szCs w:val="32"/>
        </w:rPr>
        <w:t>第</w:t>
      </w:r>
      <w:r>
        <w:rPr>
          <w:rFonts w:hint="eastAsia" w:ascii="黑体" w:hAnsi="黑体" w:eastAsia="黑体" w:cs="黑体"/>
          <w:color w:val="000000"/>
          <w:szCs w:val="32"/>
        </w:rPr>
        <w:t>二十七</w:t>
      </w:r>
      <w:r>
        <w:rPr>
          <w:rFonts w:ascii="黑体" w:hAnsi="黑体" w:eastAsia="黑体" w:cs="黑体"/>
          <w:color w:val="000000"/>
          <w:szCs w:val="32"/>
        </w:rPr>
        <w:t>条</w:t>
      </w:r>
      <w:r>
        <w:rPr>
          <w:rFonts w:hint="eastAsia" w:ascii="黑体" w:hAnsi="黑体" w:eastAsia="黑体" w:cs="黑体"/>
          <w:color w:val="000000"/>
          <w:szCs w:val="32"/>
        </w:rPr>
        <w:t xml:space="preserve">  </w:t>
      </w:r>
      <w:r>
        <w:rPr>
          <w:rFonts w:ascii="仿宋_GB2312" w:hAnsi="宋体" w:cs="仿宋_GB2312"/>
          <w:color w:val="000000"/>
          <w:kern w:val="0"/>
          <w:szCs w:val="32"/>
          <w:lang w:bidi="ar"/>
        </w:rPr>
        <w:t>甲方权利</w:t>
      </w:r>
    </w:p>
    <w:p w14:paraId="1259CFA1">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（一）对本物业服务区域内的物业服务事项有知情权和监督权； </w:t>
      </w:r>
    </w:p>
    <w:p w14:paraId="03BEE3A3">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（二）审定和认可乙方制订的物业服务方案、年度服务计划、 年度维修养护计划； </w:t>
      </w:r>
    </w:p>
    <w:p w14:paraId="73C4A8AE">
      <w:pPr>
        <w:spacing w:line="600" w:lineRule="exact"/>
        <w:ind w:firstLine="640" w:firstLineChars="200"/>
        <w:rPr>
          <w:rFonts w:ascii="仿宋_GB2312" w:hAnsi="宋体" w:cs="仿宋_GB2312"/>
          <w:color w:val="000000"/>
          <w:kern w:val="0"/>
          <w:szCs w:val="32"/>
          <w:lang w:bidi="ar"/>
        </w:rPr>
      </w:pPr>
      <w:r>
        <w:rPr>
          <w:rFonts w:hint="eastAsia" w:ascii="仿宋_GB2312" w:hAnsi="宋体" w:cs="仿宋_GB2312"/>
          <w:color w:val="000000"/>
          <w:kern w:val="0"/>
          <w:szCs w:val="32"/>
          <w:lang w:bidi="ar"/>
        </w:rPr>
        <w:t>（三）监督、检查乙方各项方案和计划的实施，并每年对乙方按照本合同约定履行物业服务情况进行</w:t>
      </w:r>
      <w:r>
        <w:rPr>
          <w:rFonts w:hint="eastAsia" w:ascii="仿宋_GB2312" w:hAnsi="宋体" w:cs="仿宋_GB2312"/>
          <w:kern w:val="0"/>
          <w:szCs w:val="32"/>
          <w:lang w:bidi="ar"/>
        </w:rPr>
        <w:t>评价</w:t>
      </w:r>
      <w:r>
        <w:rPr>
          <w:rFonts w:hint="eastAsia" w:ascii="仿宋_GB2312" w:hAnsi="宋体" w:cs="仿宋_GB2312"/>
          <w:color w:val="000000"/>
          <w:kern w:val="0"/>
          <w:szCs w:val="32"/>
          <w:lang w:bidi="ar"/>
        </w:rPr>
        <w:t xml:space="preserve">； </w:t>
      </w:r>
    </w:p>
    <w:p w14:paraId="2A1F3EA6">
      <w:pPr>
        <w:spacing w:line="600" w:lineRule="exact"/>
        <w:ind w:firstLine="640" w:firstLineChars="200"/>
        <w:rPr>
          <w:rFonts w:ascii="仿宋_GB2312" w:hAnsi="宋体" w:cs="仿宋_GB2312"/>
          <w:color w:val="000000"/>
          <w:kern w:val="0"/>
          <w:szCs w:val="32"/>
          <w:lang w:bidi="ar"/>
        </w:rPr>
      </w:pPr>
      <w:r>
        <w:rPr>
          <w:rFonts w:hint="eastAsia" w:ascii="仿宋_GB2312" w:hAnsi="宋体" w:cs="仿宋_GB2312"/>
          <w:color w:val="000000"/>
          <w:kern w:val="0"/>
          <w:szCs w:val="32"/>
          <w:lang w:bidi="ar"/>
        </w:rPr>
        <w:t xml:space="preserve">（四）监督委托乙方实施的住宅专项维修资金使用情况； </w:t>
      </w:r>
    </w:p>
    <w:p w14:paraId="14A44A64">
      <w:pPr>
        <w:spacing w:line="600" w:lineRule="exact"/>
        <w:ind w:firstLine="640" w:firstLineChars="200"/>
        <w:rPr>
          <w:color w:val="000000"/>
          <w:szCs w:val="32"/>
        </w:rPr>
      </w:pPr>
      <w:r>
        <w:rPr>
          <w:rFonts w:hint="eastAsia" w:ascii="仿宋_GB2312" w:hAnsi="宋体" w:cs="仿宋_GB2312"/>
          <w:color w:val="000000"/>
          <w:kern w:val="0"/>
          <w:szCs w:val="32"/>
          <w:lang w:bidi="ar"/>
        </w:rPr>
        <w:t>（五）监督乙方对物业共有部分、</w:t>
      </w:r>
      <w:r>
        <w:rPr>
          <w:rFonts w:hint="eastAsia" w:ascii="仿宋_GB2312" w:hAnsi="宋体" w:cs="仿宋_GB2312"/>
          <w:color w:val="000000"/>
          <w:szCs w:val="32"/>
        </w:rPr>
        <w:t>公用设施</w:t>
      </w:r>
      <w:r>
        <w:rPr>
          <w:rFonts w:hint="eastAsia" w:ascii="仿宋_GB2312" w:hAnsi="宋体" w:cs="仿宋_GB2312"/>
          <w:color w:val="000000"/>
          <w:kern w:val="0"/>
          <w:szCs w:val="32"/>
          <w:lang w:bidi="ar"/>
        </w:rPr>
        <w:t xml:space="preserve">的经营情况； </w:t>
      </w:r>
    </w:p>
    <w:p w14:paraId="3431EFE6">
      <w:pPr>
        <w:spacing w:line="600" w:lineRule="exact"/>
        <w:ind w:firstLine="640" w:firstLineChars="200"/>
        <w:rPr>
          <w:color w:val="000000"/>
          <w:szCs w:val="32"/>
        </w:rPr>
      </w:pPr>
      <w:r>
        <w:rPr>
          <w:rFonts w:hint="eastAsia" w:ascii="仿宋_GB2312" w:hAnsi="宋体" w:cs="仿宋_GB2312"/>
          <w:color w:val="000000"/>
          <w:kern w:val="0"/>
          <w:szCs w:val="32"/>
          <w:lang w:bidi="ar"/>
        </w:rPr>
        <w:t>（六）</w:t>
      </w:r>
      <w:r>
        <w:rPr>
          <w:rFonts w:hint="eastAsia" w:ascii="仿宋_GB2312" w:hAnsi="宋体" w:cs="仿宋_GB2312"/>
          <w:color w:val="000000"/>
          <w:kern w:val="0"/>
          <w:szCs w:val="32"/>
          <w:u w:val="single"/>
          <w:lang w:bidi="ar"/>
        </w:rPr>
        <w:t xml:space="preserve">                                            </w:t>
      </w:r>
      <w:r>
        <w:rPr>
          <w:rFonts w:hint="eastAsia" w:ascii="仿宋_GB2312" w:hAnsi="宋体" w:cs="仿宋_GB2312"/>
          <w:color w:val="000000"/>
          <w:kern w:val="0"/>
          <w:szCs w:val="32"/>
          <w:lang w:bidi="ar"/>
        </w:rPr>
        <w:t xml:space="preserve"> ；                    </w:t>
      </w:r>
    </w:p>
    <w:p w14:paraId="778F7566">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（七）法律、法规规定的其他权利。 </w:t>
      </w:r>
    </w:p>
    <w:p w14:paraId="696A4C0B">
      <w:pPr>
        <w:spacing w:line="600" w:lineRule="exact"/>
        <w:ind w:firstLine="640" w:firstLineChars="200"/>
        <w:rPr>
          <w:color w:val="000000"/>
          <w:szCs w:val="32"/>
        </w:rPr>
      </w:pPr>
      <w:r>
        <w:rPr>
          <w:rFonts w:ascii="黑体" w:hAnsi="黑体" w:eastAsia="黑体" w:cs="黑体"/>
          <w:color w:val="000000"/>
          <w:szCs w:val="32"/>
          <w:lang w:bidi="ar"/>
        </w:rPr>
        <w:t>第</w:t>
      </w:r>
      <w:r>
        <w:rPr>
          <w:rFonts w:hint="eastAsia" w:ascii="黑体" w:hAnsi="黑体" w:eastAsia="黑体" w:cs="黑体"/>
          <w:color w:val="000000"/>
          <w:szCs w:val="32"/>
          <w:lang w:bidi="ar"/>
        </w:rPr>
        <w:t xml:space="preserve">二十八条  </w:t>
      </w:r>
      <w:r>
        <w:rPr>
          <w:rFonts w:hint="eastAsia" w:ascii="仿宋_GB2312" w:hAnsi="宋体" w:cs="仿宋_GB2312"/>
          <w:color w:val="000000"/>
          <w:kern w:val="0"/>
          <w:szCs w:val="32"/>
          <w:lang w:bidi="ar"/>
        </w:rPr>
        <w:t>甲方义务</w:t>
      </w:r>
    </w:p>
    <w:p w14:paraId="65E74D27">
      <w:pPr>
        <w:spacing w:line="600" w:lineRule="exact"/>
        <w:ind w:firstLine="640" w:firstLineChars="200"/>
        <w:rPr>
          <w:color w:val="000000"/>
          <w:szCs w:val="32"/>
        </w:rPr>
      </w:pPr>
      <w:r>
        <w:rPr>
          <w:rFonts w:hint="eastAsia" w:ascii="仿宋_GB2312" w:hAnsi="宋体" w:cs="仿宋_GB2312"/>
          <w:color w:val="000000"/>
          <w:kern w:val="0"/>
          <w:szCs w:val="32"/>
          <w:lang w:bidi="ar"/>
        </w:rPr>
        <w:t>（一）在乙方入驻</w:t>
      </w:r>
      <w:r>
        <w:rPr>
          <w:rFonts w:hint="eastAsia" w:ascii="仿宋_GB2312" w:hAnsi="宋体" w:cs="仿宋_GB2312"/>
          <w:color w:val="000000"/>
          <w:kern w:val="0"/>
          <w:szCs w:val="32"/>
          <w:u w:val="single"/>
          <w:lang w:bidi="ar"/>
        </w:rPr>
        <w:t xml:space="preserve">    </w:t>
      </w:r>
      <w:r>
        <w:rPr>
          <w:rFonts w:hint="eastAsia" w:ascii="仿宋_GB2312" w:hAnsi="宋体" w:cs="仿宋_GB2312"/>
          <w:color w:val="000000"/>
          <w:kern w:val="0"/>
          <w:szCs w:val="32"/>
          <w:lang w:bidi="ar"/>
        </w:rPr>
        <w:t xml:space="preserve">日前，无偿提供符合使用要求的物业服务用房； </w:t>
      </w:r>
    </w:p>
    <w:p w14:paraId="4C83D028">
      <w:pPr>
        <w:spacing w:line="600" w:lineRule="exact"/>
        <w:ind w:firstLine="640" w:firstLineChars="200"/>
        <w:rPr>
          <w:color w:val="000000"/>
          <w:szCs w:val="32"/>
        </w:rPr>
      </w:pPr>
      <w:r>
        <w:rPr>
          <w:rFonts w:hint="eastAsia" w:ascii="仿宋_GB2312" w:hAnsi="宋体" w:cs="仿宋_GB2312"/>
          <w:color w:val="000000"/>
          <w:kern w:val="0"/>
          <w:szCs w:val="32"/>
          <w:lang w:bidi="ar"/>
        </w:rPr>
        <w:t>（二）向乙方移交本合同第七条列举的资料；</w:t>
      </w:r>
    </w:p>
    <w:p w14:paraId="409F3314">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（三）负责协调、处理、解决本合同生效前发生的与物业服务活动相关的遗留问题，不因此影响乙方工作； </w:t>
      </w:r>
    </w:p>
    <w:p w14:paraId="3E2F4E82">
      <w:pPr>
        <w:spacing w:line="600" w:lineRule="exact"/>
        <w:ind w:firstLine="640" w:firstLineChars="200"/>
        <w:rPr>
          <w:rFonts w:ascii="仿宋_GB2312" w:hAnsi="宋体" w:cs="仿宋_GB2312"/>
          <w:color w:val="000000"/>
          <w:kern w:val="0"/>
          <w:szCs w:val="32"/>
          <w:lang w:bidi="ar"/>
        </w:rPr>
      </w:pPr>
      <w:r>
        <w:rPr>
          <w:rFonts w:hint="eastAsia" w:ascii="仿宋_GB2312" w:hAnsi="宋体" w:cs="仿宋_GB2312"/>
          <w:color w:val="000000"/>
          <w:kern w:val="0"/>
          <w:szCs w:val="32"/>
          <w:lang w:bidi="ar"/>
        </w:rPr>
        <w:t xml:space="preserve">（四）配合乙方做好物业服务区域内的物业服务工作，不得干涉乙方依法、依本合同约定开展物业服务活动及企业内部管理事务； </w:t>
      </w:r>
    </w:p>
    <w:p w14:paraId="6A3C3F59">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（五）业主应按照本合同约定交纳物业服务费用。对违反本合同约定、逾期不交纳物业服务费用的业主（物业使用人），甲方应督促其交纳； </w:t>
      </w:r>
    </w:p>
    <w:p w14:paraId="3930C0F2">
      <w:pPr>
        <w:spacing w:line="600" w:lineRule="exact"/>
        <w:ind w:firstLine="640" w:firstLineChars="200"/>
        <w:rPr>
          <w:rFonts w:ascii="仿宋_GB2312" w:hAnsi="宋体" w:cs="仿宋_GB2312"/>
          <w:color w:val="000000"/>
          <w:kern w:val="0"/>
          <w:szCs w:val="32"/>
          <w:lang w:bidi="ar"/>
        </w:rPr>
      </w:pPr>
      <w:r>
        <w:rPr>
          <w:rFonts w:hint="eastAsia" w:ascii="仿宋_GB2312" w:hAnsi="宋体" w:cs="仿宋_GB2312"/>
          <w:color w:val="000000"/>
          <w:kern w:val="0"/>
          <w:szCs w:val="32"/>
          <w:lang w:bidi="ar"/>
        </w:rPr>
        <w:t>（六）</w:t>
      </w:r>
      <w:r>
        <w:rPr>
          <w:rFonts w:hint="eastAsia" w:ascii="仿宋_GB2312" w:hAnsi="宋体" w:cs="仿宋_GB2312"/>
          <w:color w:val="000000"/>
          <w:kern w:val="0"/>
          <w:szCs w:val="32"/>
          <w:u w:val="single"/>
          <w:lang w:bidi="ar"/>
        </w:rPr>
        <w:t xml:space="preserve">                                         </w:t>
      </w:r>
      <w:r>
        <w:rPr>
          <w:rFonts w:hint="eastAsia" w:ascii="仿宋_GB2312" w:hAnsi="宋体" w:cs="仿宋_GB2312"/>
          <w:color w:val="000000"/>
          <w:kern w:val="0"/>
          <w:szCs w:val="32"/>
          <w:lang w:bidi="ar"/>
        </w:rPr>
        <w:t xml:space="preserve">； </w:t>
      </w:r>
    </w:p>
    <w:p w14:paraId="556B18AF">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（七）法律、法规规定的其他义务。 </w:t>
      </w:r>
    </w:p>
    <w:p w14:paraId="5EAB74EF">
      <w:pPr>
        <w:spacing w:line="600" w:lineRule="exact"/>
        <w:ind w:firstLine="640" w:firstLineChars="200"/>
        <w:rPr>
          <w:color w:val="000000"/>
          <w:szCs w:val="32"/>
        </w:rPr>
      </w:pPr>
      <w:r>
        <w:rPr>
          <w:rFonts w:hint="eastAsia" w:ascii="黑体" w:hAnsi="黑体" w:eastAsia="黑体" w:cs="黑体"/>
          <w:color w:val="000000"/>
          <w:szCs w:val="32"/>
          <w:lang w:bidi="ar"/>
        </w:rPr>
        <w:t xml:space="preserve">第二十九条  </w:t>
      </w:r>
      <w:r>
        <w:rPr>
          <w:rFonts w:hint="eastAsia" w:ascii="仿宋_GB2312" w:hAnsi="宋体" w:cs="仿宋_GB2312"/>
          <w:color w:val="000000"/>
          <w:kern w:val="0"/>
          <w:szCs w:val="32"/>
          <w:lang w:bidi="ar"/>
        </w:rPr>
        <w:t xml:space="preserve">乙方权利 </w:t>
      </w:r>
    </w:p>
    <w:p w14:paraId="216CA078">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（一）根据有关法律、法规的规定和本合同的约定，开展各项物业服务活动； </w:t>
      </w:r>
    </w:p>
    <w:p w14:paraId="76DC6AB1">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（二）根据有关法律、法规的规定和本合同的约定，向业主（物业使用人）收取物业服务费（物业服务资金）等相关费用，通过合法有效的方式解决拖欠物业服务费用的问题； </w:t>
      </w:r>
    </w:p>
    <w:p w14:paraId="18C809F2">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（三）对业主（物业使用人）违反本合同和《管理规约》的行为，采取劝阻、制止和向甲方、有关部门报告等方式，协助纠正业主(物业使用人)违约行为； </w:t>
      </w:r>
    </w:p>
    <w:p w14:paraId="29AA344D">
      <w:pPr>
        <w:spacing w:line="600" w:lineRule="exact"/>
        <w:ind w:firstLine="640" w:firstLineChars="200"/>
        <w:rPr>
          <w:color w:val="000000"/>
          <w:szCs w:val="32"/>
        </w:rPr>
      </w:pPr>
      <w:r>
        <w:rPr>
          <w:rFonts w:hint="eastAsia" w:ascii="仿宋_GB2312" w:hAnsi="宋体" w:cs="仿宋_GB2312"/>
          <w:color w:val="000000"/>
          <w:kern w:val="0"/>
          <w:szCs w:val="32"/>
          <w:lang w:bidi="ar"/>
        </w:rPr>
        <w:t>（四）</w:t>
      </w:r>
      <w:r>
        <w:rPr>
          <w:rFonts w:hint="eastAsia" w:ascii="仿宋_GB2312" w:hAnsi="宋体" w:cs="仿宋_GB2312"/>
          <w:color w:val="000000"/>
          <w:kern w:val="0"/>
          <w:szCs w:val="32"/>
          <w:u w:val="single"/>
          <w:lang w:bidi="ar"/>
        </w:rPr>
        <w:t xml:space="preserve">                                          </w:t>
      </w:r>
      <w:r>
        <w:rPr>
          <w:rFonts w:hint="eastAsia" w:ascii="仿宋_GB2312" w:hAnsi="宋体" w:cs="仿宋_GB2312"/>
          <w:color w:val="000000"/>
          <w:kern w:val="0"/>
          <w:szCs w:val="32"/>
          <w:lang w:bidi="ar"/>
        </w:rPr>
        <w:t>；</w:t>
      </w:r>
    </w:p>
    <w:p w14:paraId="5DD5C828">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（五）法律、法规规定的其他权利。 </w:t>
      </w:r>
    </w:p>
    <w:p w14:paraId="54EB3D8B">
      <w:pPr>
        <w:spacing w:line="600" w:lineRule="exact"/>
        <w:ind w:firstLine="640" w:firstLineChars="200"/>
        <w:rPr>
          <w:color w:val="000000"/>
          <w:szCs w:val="32"/>
        </w:rPr>
      </w:pPr>
      <w:r>
        <w:rPr>
          <w:rFonts w:hint="eastAsia" w:ascii="黑体" w:hAnsi="黑体" w:eastAsia="黑体" w:cs="黑体"/>
          <w:color w:val="000000"/>
          <w:szCs w:val="32"/>
          <w:lang w:bidi="ar"/>
        </w:rPr>
        <w:t xml:space="preserve">第三十条 </w:t>
      </w:r>
      <w:r>
        <w:rPr>
          <w:rFonts w:hint="eastAsia" w:ascii="仿宋_GB2312" w:hAnsi="宋体" w:cs="仿宋_GB2312"/>
          <w:color w:val="000000"/>
          <w:kern w:val="0"/>
          <w:szCs w:val="32"/>
          <w:lang w:bidi="ar"/>
        </w:rPr>
        <w:t xml:space="preserve"> 乙方义务 </w:t>
      </w:r>
    </w:p>
    <w:p w14:paraId="48D796B9">
      <w:pPr>
        <w:spacing w:line="600" w:lineRule="exact"/>
        <w:ind w:firstLine="640" w:firstLineChars="200"/>
        <w:rPr>
          <w:rFonts w:ascii="仿宋_GB2312" w:hAnsi="宋体" w:cs="仿宋_GB2312"/>
          <w:color w:val="000000"/>
          <w:kern w:val="0"/>
          <w:szCs w:val="32"/>
          <w:lang w:bidi="ar"/>
        </w:rPr>
      </w:pPr>
      <w:r>
        <w:rPr>
          <w:rFonts w:hint="eastAsia" w:ascii="仿宋_GB2312" w:hAnsi="宋体" w:cs="仿宋_GB2312"/>
          <w:color w:val="000000"/>
          <w:kern w:val="0"/>
          <w:szCs w:val="32"/>
          <w:lang w:bidi="ar"/>
        </w:rPr>
        <w:t xml:space="preserve">（一）根据有关法律、法规及本合同的约定，按照物业服务内容和标准提供物业服务； </w:t>
      </w:r>
    </w:p>
    <w:p w14:paraId="34189372">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（二）选聘专业性服务企业承担物业服务区域内的专项服务项目时，应当将委托事项及受托企业的信息在物业服务区域内公示； </w:t>
      </w:r>
    </w:p>
    <w:p w14:paraId="3760754C">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乙方与受托企业签订的合同中约定的服务标准，不得低于本合同约定； </w:t>
      </w:r>
    </w:p>
    <w:p w14:paraId="2BB05CAE">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乙方应当对受托企业的服务行为进行监督，并对受托企业的服务行为承担责任； </w:t>
      </w:r>
    </w:p>
    <w:p w14:paraId="2DA4B89A">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（三）妥善保管和正确使用物业档案资料，及时记载有关变更信息，并为业主的个人资料信息保密； </w:t>
      </w:r>
    </w:p>
    <w:p w14:paraId="03F940C2">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四）及时向全体业主通告本物业服务区域内有关物业管理的重大事项，受理业主（物业使用人）的建议、意见和投诉，定期公布相关信息，接受甲方、业主（物业使用人）的监督，不断提高物业服务质量和管理水平； </w:t>
      </w:r>
    </w:p>
    <w:p w14:paraId="0D988514">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（五）业主需要装饰装修房屋的，应当事先告知业主相关注意事项并与业主签订装饰装修管理服务协议； </w:t>
      </w:r>
    </w:p>
    <w:p w14:paraId="0B06BCAA">
      <w:pPr>
        <w:spacing w:line="600" w:lineRule="exact"/>
        <w:ind w:firstLine="640" w:firstLineChars="200"/>
        <w:rPr>
          <w:color w:val="000000"/>
          <w:szCs w:val="32"/>
        </w:rPr>
      </w:pPr>
      <w:r>
        <w:rPr>
          <w:rFonts w:hint="eastAsia" w:ascii="仿宋_GB2312" w:hAnsi="宋体" w:cs="仿宋_GB2312"/>
          <w:color w:val="000000"/>
          <w:kern w:val="0"/>
          <w:szCs w:val="32"/>
          <w:lang w:bidi="ar"/>
        </w:rPr>
        <w:t>（六）不得擅自占用本物业服务区域内的共有部分、</w:t>
      </w:r>
      <w:r>
        <w:rPr>
          <w:rFonts w:hint="eastAsia" w:ascii="仿宋_GB2312" w:hAnsi="宋体" w:cs="仿宋_GB2312"/>
          <w:color w:val="000000"/>
          <w:szCs w:val="32"/>
        </w:rPr>
        <w:t>公用设施</w:t>
      </w:r>
      <w:r>
        <w:rPr>
          <w:rFonts w:hint="eastAsia" w:ascii="仿宋_GB2312" w:hAnsi="宋体" w:cs="仿宋_GB2312"/>
          <w:color w:val="000000"/>
          <w:kern w:val="0"/>
          <w:szCs w:val="32"/>
          <w:lang w:bidi="ar"/>
        </w:rPr>
        <w:t xml:space="preserve">或改变用途，确需临时占用、挖掘道路、场地的，经甲方和有利害关系的业主同意后依法依约实施； </w:t>
      </w:r>
    </w:p>
    <w:p w14:paraId="5136B9CC">
      <w:pPr>
        <w:spacing w:line="600" w:lineRule="exact"/>
        <w:ind w:firstLine="640" w:firstLineChars="200"/>
        <w:rPr>
          <w:color w:val="000000"/>
          <w:szCs w:val="32"/>
        </w:rPr>
      </w:pPr>
      <w:r>
        <w:rPr>
          <w:rFonts w:hint="eastAsia" w:ascii="仿宋_GB2312" w:hAnsi="宋体" w:cs="仿宋_GB2312"/>
          <w:color w:val="000000"/>
          <w:kern w:val="0"/>
          <w:szCs w:val="32"/>
          <w:lang w:bidi="ar"/>
        </w:rPr>
        <w:t>（七）本合同解除或者期满终止时，乙方应当按照有关规定和本合同约定，及时与甲方办理资金、资料、资产移交和项目退出手续，将所有工作人员、生产设施设备撤离本物业服务区域。乙方向甲方移交的资料包括但不限于；</w:t>
      </w:r>
    </w:p>
    <w:p w14:paraId="692518CF">
      <w:pPr>
        <w:spacing w:line="600" w:lineRule="exact"/>
        <w:ind w:firstLine="640" w:firstLineChars="200"/>
        <w:rPr>
          <w:color w:val="000000"/>
          <w:szCs w:val="32"/>
        </w:rPr>
      </w:pPr>
      <w:r>
        <w:rPr>
          <w:rFonts w:hint="eastAsia" w:ascii="仿宋_GB2312" w:hAnsi="宋体" w:cs="仿宋_GB2312"/>
          <w:color w:val="000000"/>
          <w:kern w:val="0"/>
          <w:szCs w:val="32"/>
          <w:lang w:bidi="ar"/>
        </w:rPr>
        <w:t>1.共有部分及</w:t>
      </w:r>
      <w:r>
        <w:rPr>
          <w:rFonts w:hint="eastAsia" w:ascii="仿宋_GB2312" w:hAnsi="宋体" w:cs="仿宋_GB2312"/>
          <w:color w:val="000000"/>
          <w:szCs w:val="32"/>
        </w:rPr>
        <w:t>公用设施</w:t>
      </w:r>
      <w:r>
        <w:rPr>
          <w:rFonts w:hint="eastAsia" w:ascii="仿宋_GB2312" w:hAnsi="宋体" w:cs="仿宋_GB2312"/>
          <w:color w:val="000000"/>
          <w:kern w:val="0"/>
          <w:szCs w:val="32"/>
          <w:lang w:bidi="ar"/>
        </w:rPr>
        <w:t>设备的竣工图纸、保修及使用资料，</w:t>
      </w:r>
      <w:r>
        <w:rPr>
          <w:rFonts w:hint="eastAsia" w:ascii="仿宋_GB2312" w:hAnsi="宋体" w:cs="仿宋_GB2312"/>
          <w:color w:val="000000"/>
          <w:szCs w:val="32"/>
        </w:rPr>
        <w:t>公用设施</w:t>
      </w:r>
      <w:r>
        <w:rPr>
          <w:rFonts w:hint="eastAsia" w:ascii="仿宋_GB2312" w:hAnsi="宋体" w:cs="仿宋_GB2312"/>
          <w:color w:val="000000"/>
          <w:kern w:val="0"/>
          <w:szCs w:val="32"/>
          <w:lang w:bidi="ar"/>
        </w:rPr>
        <w:t xml:space="preserve">维护保养及维修等技术资料； </w:t>
      </w:r>
    </w:p>
    <w:p w14:paraId="7B75026A">
      <w:pPr>
        <w:spacing w:line="600" w:lineRule="exact"/>
        <w:ind w:firstLine="640" w:firstLineChars="200"/>
        <w:rPr>
          <w:color w:val="000000"/>
          <w:szCs w:val="32"/>
        </w:rPr>
      </w:pPr>
      <w:r>
        <w:rPr>
          <w:rFonts w:hint="eastAsia" w:ascii="仿宋_GB2312" w:hAnsi="宋体" w:cs="仿宋_GB2312"/>
          <w:color w:val="000000"/>
          <w:kern w:val="0"/>
          <w:szCs w:val="32"/>
          <w:lang w:bidi="ar"/>
        </w:rPr>
        <w:t>2.</w:t>
      </w:r>
      <w:r>
        <w:rPr>
          <w:rFonts w:hint="eastAsia" w:ascii="仿宋_GB2312" w:hAnsi="宋体" w:cs="仿宋_GB2312"/>
          <w:color w:val="000000"/>
          <w:szCs w:val="32"/>
        </w:rPr>
        <w:t>公用设施</w:t>
      </w:r>
      <w:r>
        <w:rPr>
          <w:rFonts w:hint="eastAsia" w:ascii="仿宋_GB2312" w:hAnsi="宋体" w:cs="仿宋_GB2312"/>
          <w:color w:val="000000"/>
          <w:kern w:val="0"/>
          <w:szCs w:val="32"/>
          <w:lang w:bidi="ar"/>
        </w:rPr>
        <w:t xml:space="preserve">的安装调试、验收、维护保养和维修的合同资料； </w:t>
      </w:r>
    </w:p>
    <w:p w14:paraId="67F74023">
      <w:pPr>
        <w:tabs>
          <w:tab w:val="left" w:pos="0"/>
        </w:tabs>
        <w:spacing w:line="600" w:lineRule="exact"/>
        <w:ind w:firstLine="640" w:firstLineChars="200"/>
        <w:rPr>
          <w:color w:val="000000"/>
          <w:kern w:val="0"/>
          <w:szCs w:val="32"/>
        </w:rPr>
      </w:pPr>
      <w:r>
        <w:rPr>
          <w:rFonts w:hint="eastAsia" w:ascii="仿宋_GB2312" w:hAnsi="宋体" w:cs="仿宋_GB2312"/>
          <w:color w:val="000000"/>
          <w:kern w:val="0"/>
          <w:szCs w:val="32"/>
          <w:lang w:bidi="ar"/>
        </w:rPr>
        <w:t>3.</w:t>
      </w:r>
      <w:r>
        <w:rPr>
          <w:rFonts w:hint="eastAsia"/>
          <w:color w:val="000000"/>
          <w:kern w:val="0"/>
          <w:szCs w:val="32"/>
        </w:rPr>
        <w:t>公共收益账户、结余资金、</w:t>
      </w:r>
      <w:r>
        <w:rPr>
          <w:color w:val="000000"/>
          <w:kern w:val="0"/>
          <w:szCs w:val="32"/>
        </w:rPr>
        <w:t>收支账目</w:t>
      </w:r>
      <w:r>
        <w:rPr>
          <w:rFonts w:hint="eastAsia"/>
          <w:color w:val="000000"/>
          <w:kern w:val="0"/>
          <w:szCs w:val="32"/>
        </w:rPr>
        <w:t>资料、审计资料等；</w:t>
      </w:r>
    </w:p>
    <w:p w14:paraId="3CE63D8E">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4.物业面积清单及业主名册； </w:t>
      </w:r>
    </w:p>
    <w:p w14:paraId="59B9A1EB">
      <w:pPr>
        <w:spacing w:line="600" w:lineRule="exact"/>
        <w:ind w:firstLine="640" w:firstLineChars="200"/>
        <w:rPr>
          <w:color w:val="000000"/>
          <w:szCs w:val="32"/>
        </w:rPr>
      </w:pPr>
      <w:r>
        <w:rPr>
          <w:rFonts w:hint="eastAsia" w:ascii="仿宋_GB2312" w:hAnsi="宋体" w:cs="仿宋_GB2312"/>
          <w:color w:val="000000"/>
          <w:kern w:val="0"/>
          <w:szCs w:val="32"/>
          <w:lang w:bidi="ar"/>
        </w:rPr>
        <w:t xml:space="preserve">5.其他乙方进场时接收的资料； </w:t>
      </w:r>
    </w:p>
    <w:p w14:paraId="41A1CC82">
      <w:pPr>
        <w:spacing w:line="600" w:lineRule="exact"/>
        <w:ind w:firstLine="640" w:firstLineChars="200"/>
        <w:rPr>
          <w:color w:val="000000"/>
          <w:szCs w:val="32"/>
        </w:rPr>
      </w:pPr>
      <w:r>
        <w:rPr>
          <w:rFonts w:hint="eastAsia" w:ascii="仿宋_GB2312" w:hAnsi="宋体" w:cs="仿宋_GB2312"/>
          <w:color w:val="000000"/>
          <w:kern w:val="0"/>
          <w:szCs w:val="32"/>
          <w:lang w:bidi="ar"/>
        </w:rPr>
        <w:t>（八）</w:t>
      </w:r>
      <w:r>
        <w:rPr>
          <w:rFonts w:hint="eastAsia" w:ascii="仿宋_GB2312" w:hAnsi="宋体" w:cs="仿宋_GB2312"/>
          <w:color w:val="000000"/>
          <w:kern w:val="0"/>
          <w:szCs w:val="32"/>
          <w:u w:val="single"/>
          <w:lang w:bidi="ar"/>
        </w:rPr>
        <w:t xml:space="preserve">                                            </w:t>
      </w:r>
      <w:r>
        <w:rPr>
          <w:rFonts w:hint="eastAsia" w:ascii="仿宋_GB2312" w:hAnsi="宋体" w:cs="仿宋_GB2312"/>
          <w:color w:val="000000"/>
          <w:kern w:val="0"/>
          <w:szCs w:val="32"/>
          <w:lang w:bidi="ar"/>
        </w:rPr>
        <w:t>；</w:t>
      </w:r>
    </w:p>
    <w:p w14:paraId="2F4DDF8C">
      <w:pPr>
        <w:spacing w:line="600" w:lineRule="exact"/>
        <w:ind w:firstLine="640" w:firstLineChars="200"/>
        <w:rPr>
          <w:rFonts w:ascii="仿宋_GB2312" w:hAnsi="宋体" w:cs="仿宋_GB2312"/>
          <w:color w:val="000000"/>
          <w:kern w:val="0"/>
          <w:szCs w:val="32"/>
          <w:lang w:bidi="ar"/>
        </w:rPr>
      </w:pPr>
      <w:r>
        <w:rPr>
          <w:rFonts w:hint="eastAsia" w:ascii="仿宋_GB2312" w:hAnsi="宋体" w:cs="仿宋_GB2312"/>
          <w:color w:val="000000"/>
          <w:kern w:val="0"/>
          <w:szCs w:val="32"/>
          <w:lang w:bidi="ar"/>
        </w:rPr>
        <w:t>（九）及时发现物业管理区域内违反有关治安、环保、消防等法律法规的行为，依法向有关主管部门报告并协助处理；</w:t>
      </w:r>
    </w:p>
    <w:p w14:paraId="7E4E6E8D">
      <w:pPr>
        <w:spacing w:line="600" w:lineRule="exact"/>
        <w:ind w:firstLine="640" w:firstLineChars="200"/>
        <w:rPr>
          <w:color w:val="000000"/>
          <w:szCs w:val="32"/>
        </w:rPr>
      </w:pPr>
      <w:r>
        <w:rPr>
          <w:rFonts w:hint="eastAsia" w:ascii="仿宋_GB2312" w:hAnsi="宋体" w:cs="仿宋_GB2312"/>
          <w:color w:val="000000"/>
          <w:kern w:val="0"/>
          <w:szCs w:val="32"/>
          <w:lang w:bidi="ar"/>
        </w:rPr>
        <w:t>（十）法律、法规规定的其他义务。</w:t>
      </w:r>
    </w:p>
    <w:p w14:paraId="73801685">
      <w:pPr>
        <w:snapToGrid w:val="0"/>
        <w:spacing w:line="600" w:lineRule="exact"/>
        <w:ind w:firstLine="640" w:firstLineChars="200"/>
        <w:rPr>
          <w:rFonts w:ascii="黑体" w:hAnsi="黑体" w:eastAsia="黑体" w:cs="黑体"/>
          <w:color w:val="000000"/>
          <w:kern w:val="0"/>
          <w:szCs w:val="32"/>
        </w:rPr>
      </w:pPr>
    </w:p>
    <w:p w14:paraId="1BC1DCE2">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第九章  服务质量履约评价</w:t>
      </w:r>
    </w:p>
    <w:p w14:paraId="57095439">
      <w:pPr>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第三十一条  </w:t>
      </w:r>
      <w:r>
        <w:rPr>
          <w:rFonts w:hint="eastAsia" w:ascii="仿宋_GB2312" w:hAnsi="宋体" w:cs="仿宋_GB2312"/>
          <w:color w:val="000000"/>
          <w:szCs w:val="32"/>
        </w:rPr>
        <w:t>乙方应</w:t>
      </w:r>
      <w:r>
        <w:rPr>
          <w:rFonts w:hint="eastAsia" w:ascii="仿宋_GB2312" w:hAnsi="宋体" w:cs="仿宋_GB2312"/>
          <w:color w:val="000000"/>
          <w:kern w:val="0"/>
          <w:szCs w:val="32"/>
          <w:lang w:bidi="ar"/>
        </w:rPr>
        <w:t>按照合同约定的内容提供物业服务</w:t>
      </w:r>
      <w:r>
        <w:rPr>
          <w:rFonts w:hint="eastAsia" w:ascii="仿宋_GB2312" w:hAnsi="宋体" w:cs="仿宋_GB2312"/>
          <w:color w:val="000000"/>
          <w:szCs w:val="32"/>
        </w:rPr>
        <w:t>，并接受甲方、全体业主及行业主管部门、街道（社区）的监督。</w:t>
      </w:r>
    </w:p>
    <w:p w14:paraId="09A8DC17">
      <w:pPr>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第三十二条  </w:t>
      </w:r>
      <w:r>
        <w:rPr>
          <w:rFonts w:hint="eastAsia" w:ascii="仿宋_GB2312" w:hAnsi="宋体" w:cs="仿宋_GB2312"/>
          <w:color w:val="000000"/>
          <w:szCs w:val="32"/>
        </w:rPr>
        <w:t>在街道（社区）的监督下</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[每半年][每年]</w:t>
      </w:r>
      <w:r>
        <w:rPr>
          <w:rFonts w:hint="eastAsia" w:ascii="仿宋_GB2312" w:hAnsi="宋体" w:cs="仿宋_GB2312"/>
          <w:color w:val="000000"/>
          <w:szCs w:val="32"/>
        </w:rPr>
        <w:t>组织一次物业服务质量履约评价（《物业服务履约情况业主评价表》见附件9），也可结合小区实际情况不定期组织评价，每年物业服务质量评价参与的业主应当不低于业主总人数的</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%。综合评分低于</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分的，乙方应于</w:t>
      </w:r>
      <w:r>
        <w:rPr>
          <w:rFonts w:hint="eastAsia" w:ascii="仿宋_GB2312" w:hAnsi="仿宋_GB2312" w:cs="仿宋_GB2312"/>
          <w:color w:val="000000"/>
          <w:szCs w:val="32"/>
          <w:u w:val="single"/>
        </w:rPr>
        <w:t xml:space="preserve">    </w:t>
      </w:r>
      <w:r>
        <w:rPr>
          <w:rFonts w:hint="eastAsia" w:ascii="仿宋_GB2312" w:hAnsi="宋体" w:cs="仿宋_GB2312"/>
          <w:color w:val="000000"/>
          <w:szCs w:val="32"/>
        </w:rPr>
        <w:t>日内进行整改，整改不到位的，视为本次物业服务质量履约评价不合格；综合评分低于</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 xml:space="preserve">分，视为本次物业服务质量履约评价不合格。 </w:t>
      </w:r>
    </w:p>
    <w:p w14:paraId="7BF1C083">
      <w:pPr>
        <w:spacing w:line="600" w:lineRule="exact"/>
        <w:ind w:firstLine="640" w:firstLineChars="200"/>
        <w:rPr>
          <w:rFonts w:ascii="黑体" w:hAnsi="黑体" w:eastAsia="黑体" w:cs="黑体"/>
          <w:color w:val="000000"/>
          <w:szCs w:val="32"/>
        </w:rPr>
      </w:pPr>
      <w:r>
        <w:rPr>
          <w:rFonts w:hint="eastAsia" w:ascii="黑体" w:hAnsi="黑体" w:eastAsia="黑体" w:cs="黑体"/>
          <w:color w:val="000000"/>
          <w:szCs w:val="32"/>
        </w:rPr>
        <w:t xml:space="preserve">第三十三条  </w:t>
      </w:r>
      <w:r>
        <w:rPr>
          <w:rFonts w:hint="eastAsia" w:ascii="仿宋_GB2312" w:hAnsi="宋体" w:cs="仿宋_GB2312"/>
          <w:color w:val="000000"/>
          <w:szCs w:val="32"/>
        </w:rPr>
        <w:t>存在下列情形之一的，</w:t>
      </w:r>
      <w:r>
        <w:rPr>
          <w:rFonts w:hint="eastAsia" w:ascii="仿宋_GB2312" w:hAnsi="仿宋_GB2312" w:cs="仿宋_GB2312"/>
          <w:color w:val="000000"/>
          <w:szCs w:val="32"/>
        </w:rPr>
        <w:t>视为</w:t>
      </w:r>
      <w:bookmarkStart w:id="15" w:name="OLE_LINK23"/>
      <w:bookmarkStart w:id="16" w:name="OLE_LINK24"/>
      <w:r>
        <w:rPr>
          <w:rFonts w:hint="eastAsia" w:ascii="仿宋_GB2312" w:hAnsi="仿宋_GB2312" w:cs="仿宋_GB2312"/>
          <w:color w:val="000000"/>
          <w:szCs w:val="32"/>
        </w:rPr>
        <w:t>乙方履行合同义务达不到本合同约定的标准，</w:t>
      </w:r>
      <w:bookmarkEnd w:id="15"/>
      <w:bookmarkEnd w:id="16"/>
      <w:r>
        <w:rPr>
          <w:rFonts w:hint="eastAsia" w:ascii="仿宋_GB2312" w:hAnsi="仿宋_GB2312" w:cs="仿宋_GB2312"/>
          <w:color w:val="000000"/>
          <w:szCs w:val="32"/>
        </w:rPr>
        <w:t>在经业主大会同意后可提前终止本合同，并提前 60 日书面通知乙方。</w:t>
      </w:r>
    </w:p>
    <w:p w14:paraId="2BE4038D">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（一）对乙方的物业服务质量履约评价连续</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次为不合格的；</w:t>
      </w:r>
    </w:p>
    <w:p w14:paraId="57DE80D7">
      <w:pPr>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（二）可以委托第三方物业服务评估监理机构就乙方的物业服务标准、服务质量等服务内容进行评估，</w:t>
      </w:r>
      <w:r>
        <w:rPr>
          <w:rFonts w:hint="eastAsia" w:ascii="仿宋_GB2312" w:hAnsi="宋体" w:cs="仿宋_GB2312"/>
          <w:color w:val="000000"/>
          <w:szCs w:val="32"/>
        </w:rPr>
        <w:t>经评估确认乙方提供的物业服务未达到本合同约定的服务质量和标准，且未在规定时间内整改到位的；</w:t>
      </w:r>
    </w:p>
    <w:p w14:paraId="4419727A">
      <w:pPr>
        <w:spacing w:line="600" w:lineRule="exact"/>
        <w:ind w:firstLine="640" w:firstLineChars="200"/>
        <w:rPr>
          <w:rFonts w:ascii="仿宋_GB2312" w:hAnsi="宋体" w:cs="仿宋_GB2312"/>
          <w:color w:val="000000"/>
          <w:szCs w:val="32"/>
        </w:rPr>
      </w:pPr>
      <w:r>
        <w:rPr>
          <w:rFonts w:hint="eastAsia" w:ascii="仿宋_GB2312" w:hAnsi="仿宋_GB2312" w:cs="仿宋_GB2312"/>
          <w:color w:val="000000"/>
          <w:szCs w:val="32"/>
        </w:rPr>
        <w:t>（三）小区</w:t>
      </w:r>
      <w:r>
        <w:rPr>
          <w:rFonts w:hint="eastAsia" w:ascii="仿宋_GB2312" w:hAnsi="宋体" w:cs="仿宋_GB2312"/>
          <w:color w:val="000000"/>
          <w:szCs w:val="32"/>
        </w:rPr>
        <w:t>被行业主管部门列入“黑榜”</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次的</w:t>
      </w:r>
      <w:r>
        <w:rPr>
          <w:rFonts w:hint="eastAsia" w:ascii="仿宋_GB2312" w:hAnsi="宋体" w:cs="仿宋_GB2312"/>
          <w:color w:val="000000"/>
          <w:szCs w:val="32"/>
        </w:rPr>
        <w:t xml:space="preserve">； </w:t>
      </w:r>
    </w:p>
    <w:p w14:paraId="2550AAE7">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（四）乙方物业企业信用等级评价低于</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分的；</w:t>
      </w:r>
    </w:p>
    <w:p w14:paraId="287B7C70">
      <w:pPr>
        <w:spacing w:line="600" w:lineRule="exact"/>
        <w:ind w:firstLine="640" w:firstLineChars="200"/>
        <w:rPr>
          <w:color w:val="000000"/>
          <w:szCs w:val="32"/>
        </w:rPr>
      </w:pPr>
      <w:r>
        <w:rPr>
          <w:rFonts w:hint="eastAsia" w:ascii="仿宋_GB2312" w:hAnsi="宋体" w:cs="仿宋_GB2312"/>
          <w:color w:val="000000"/>
          <w:szCs w:val="32"/>
        </w:rPr>
        <w:t>（五）</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48C9F6FC">
      <w:pPr>
        <w:snapToGrid w:val="0"/>
        <w:spacing w:line="600" w:lineRule="exact"/>
        <w:ind w:firstLine="640" w:firstLineChars="200"/>
        <w:rPr>
          <w:rFonts w:ascii="黑体" w:hAnsi="黑体" w:eastAsia="黑体" w:cs="黑体"/>
          <w:color w:val="000000"/>
          <w:kern w:val="0"/>
          <w:szCs w:val="32"/>
        </w:rPr>
      </w:pPr>
    </w:p>
    <w:p w14:paraId="4352BF7C">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 xml:space="preserve">第十章  </w:t>
      </w:r>
      <w:r>
        <w:rPr>
          <w:rFonts w:ascii="黑体" w:hAnsi="黑体" w:eastAsia="黑体" w:cs="黑体"/>
          <w:color w:val="000000"/>
          <w:szCs w:val="32"/>
        </w:rPr>
        <w:t>服务期限与</w:t>
      </w:r>
      <w:r>
        <w:rPr>
          <w:rFonts w:hint="eastAsia" w:ascii="黑体" w:hAnsi="黑体" w:eastAsia="黑体" w:cs="黑体"/>
          <w:color w:val="000000"/>
          <w:szCs w:val="32"/>
        </w:rPr>
        <w:t>合同终止</w:t>
      </w:r>
    </w:p>
    <w:p w14:paraId="315CCB95">
      <w:pPr>
        <w:snapToGrid w:val="0"/>
        <w:spacing w:line="600" w:lineRule="exact"/>
        <w:ind w:firstLine="640" w:firstLineChars="200"/>
        <w:rPr>
          <w:rFonts w:ascii="仿宋_GB2312" w:hAnsi="仿宋_GB2312" w:cs="仿宋_GB2312"/>
          <w:color w:val="000000"/>
          <w:szCs w:val="32"/>
        </w:rPr>
      </w:pPr>
      <w:r>
        <w:rPr>
          <w:rFonts w:hint="eastAsia" w:ascii="黑体" w:hAnsi="黑体" w:eastAsia="黑体" w:cs="黑体"/>
          <w:color w:val="000000"/>
          <w:szCs w:val="32"/>
        </w:rPr>
        <w:t xml:space="preserve">第三十四条 </w:t>
      </w:r>
      <w:r>
        <w:rPr>
          <w:rFonts w:hint="eastAsia" w:ascii="仿宋_GB2312" w:hAnsi="仿宋_GB2312" w:cs="仿宋_GB2312"/>
          <w:color w:val="000000"/>
          <w:szCs w:val="32"/>
        </w:rPr>
        <w:t>本物业服务合同期限为</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年，自</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年</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月</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日起至</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年</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月</w:t>
      </w:r>
      <w:r>
        <w:rPr>
          <w:rFonts w:hint="eastAsia" w:ascii="仿宋_GB2312" w:hAnsi="仿宋_GB2312" w:cs="仿宋_GB2312"/>
          <w:color w:val="000000"/>
          <w:szCs w:val="32"/>
          <w:u w:val="single"/>
        </w:rPr>
        <w:t xml:space="preserve">     </w:t>
      </w:r>
      <w:r>
        <w:rPr>
          <w:rFonts w:hint="eastAsia" w:ascii="仿宋_GB2312" w:hAnsi="仿宋_GB2312" w:cs="仿宋_GB2312"/>
          <w:color w:val="000000"/>
          <w:szCs w:val="32"/>
        </w:rPr>
        <w:t>日止。</w:t>
      </w:r>
    </w:p>
    <w:p w14:paraId="6CDB3C7F">
      <w:pPr>
        <w:snapToGrid w:val="0"/>
        <w:spacing w:line="600" w:lineRule="exact"/>
        <w:ind w:firstLine="640" w:firstLineChars="200"/>
        <w:rPr>
          <w:rFonts w:ascii="仿宋_GB2312" w:hAnsi="仿宋_GB2312" w:cs="仿宋_GB2312"/>
          <w:color w:val="000000"/>
          <w:szCs w:val="32"/>
        </w:rPr>
      </w:pPr>
      <w:r>
        <w:rPr>
          <w:rFonts w:hint="eastAsia" w:ascii="仿宋_GB2312" w:hAnsi="仿宋_GB2312" w:cs="仿宋_GB2312"/>
          <w:color w:val="000000"/>
          <w:szCs w:val="32"/>
        </w:rPr>
        <w:t>乙方实际提供物业服务的起始时间与前款约定的时间不一致的，以乙方实际提供物业服务的起始时间为准。</w:t>
      </w:r>
    </w:p>
    <w:p w14:paraId="1D8200FE">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第三十五条  </w:t>
      </w:r>
      <w:r>
        <w:rPr>
          <w:rFonts w:hint="eastAsia" w:ascii="仿宋_GB2312" w:hAnsi="宋体" w:cs="仿宋_GB2312"/>
          <w:color w:val="000000"/>
          <w:szCs w:val="32"/>
        </w:rPr>
        <w:t>合同终止情形：</w:t>
      </w:r>
    </w:p>
    <w:p w14:paraId="5B56BE78">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（一）合同期限届满后，甲、乙双方中任何一方决定不再续约；</w:t>
      </w:r>
    </w:p>
    <w:p w14:paraId="1561D4C9">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（二）</w:t>
      </w:r>
      <w:r>
        <w:rPr>
          <w:rFonts w:hint="eastAsia" w:ascii="仿宋_GB2312" w:hAnsi="仿宋_GB2312" w:cs="仿宋_GB2312"/>
          <w:color w:val="000000"/>
          <w:szCs w:val="32"/>
        </w:rPr>
        <w:t>服务合同期限内，</w:t>
      </w:r>
      <w:r>
        <w:rPr>
          <w:rFonts w:hint="eastAsia" w:ascii="仿宋_GB2312" w:hAnsi="宋体" w:cs="仿宋_GB2312"/>
          <w:color w:val="000000"/>
          <w:szCs w:val="32"/>
        </w:rPr>
        <w:t>经双方协商一致决定解除本合同；</w:t>
      </w:r>
    </w:p>
    <w:p w14:paraId="4F491AFF">
      <w:pPr>
        <w:ind w:firstLine="640" w:firstLineChars="200"/>
        <w:rPr>
          <w:rFonts w:ascii="仿宋_GB2312" w:hAnsi="宋体" w:cs="仿宋_GB2312"/>
          <w:color w:val="000000"/>
          <w:szCs w:val="32"/>
        </w:rPr>
      </w:pPr>
      <w:r>
        <w:rPr>
          <w:rFonts w:hint="eastAsia" w:ascii="仿宋_GB2312" w:hAnsi="宋体" w:cs="仿宋_GB2312"/>
          <w:color w:val="000000"/>
          <w:szCs w:val="32"/>
        </w:rPr>
        <w:t xml:space="preserve">（三）服务合同期限内，存在本合同第三十三条约定的视为乙方履行合同义务达不到本合同约定标准的情形，经业主大会同意甲方提前终止合同。 </w:t>
      </w:r>
    </w:p>
    <w:p w14:paraId="53BDD591">
      <w:pPr>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服务合同终止的，乙方应当配合新物业服务人做好退出和交接工作，不得以物业服务的债权债务纠纷未解决、业主欠缴物业费、物业权属存在争议等为由拒绝退出住宅小区。</w:t>
      </w:r>
    </w:p>
    <w:p w14:paraId="09A1B6FA">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第三十六条</w:t>
      </w:r>
      <w:r>
        <w:rPr>
          <w:rFonts w:hint="eastAsia" w:ascii="仿宋_GB2312" w:hAnsi="宋体" w:cs="仿宋_GB2312"/>
          <w:color w:val="000000"/>
          <w:szCs w:val="32"/>
        </w:rPr>
        <w:t xml:space="preserve">  退出和移交手续按以下程序办理：</w:t>
      </w:r>
    </w:p>
    <w:p w14:paraId="0DF25CF5">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（一）经协商，决定解除合同的，决定作出后3日内，应当将解除合同决定在物业服务区域内公告；</w:t>
      </w:r>
    </w:p>
    <w:p w14:paraId="63CFD12F">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二）经协商，决定解除合同的，决定作出后30日内，乙方应当做好共有部分及公用设施设备档案、物业服务档案、预收欠收代收费用等资料和账务的清理工作，并就交接内容、方式、时间、责任界限及债权债务结算方式与甲方平等协商，签订退管协议；</w:t>
      </w:r>
    </w:p>
    <w:p w14:paraId="7DE9B73B">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三）经协商，决定解除合同的，决定作出后90日内，应当召开业主大会选聘新的物业服务企业，并重新签订《物业服务合同》。未选聘出新的物业服务企业的，甲方应当及时向物业所在地街道办事处、乡镇人民政府提出托管申请或由业主大会决定是否对本物业进行自管。</w:t>
      </w:r>
    </w:p>
    <w:p w14:paraId="73558037">
      <w:pPr>
        <w:snapToGrid w:val="0"/>
        <w:spacing w:line="600" w:lineRule="exact"/>
        <w:ind w:firstLine="640" w:firstLineChars="200"/>
        <w:rPr>
          <w:rFonts w:ascii="仿宋_GB2312" w:hAnsi="宋体"/>
          <w:color w:val="000000"/>
          <w:szCs w:val="32"/>
        </w:rPr>
      </w:pPr>
      <w:r>
        <w:rPr>
          <w:rFonts w:hint="eastAsia" w:ascii="黑体" w:hAnsi="黑体" w:eastAsia="黑体" w:cs="黑体"/>
          <w:color w:val="000000"/>
          <w:szCs w:val="32"/>
        </w:rPr>
        <w:t xml:space="preserve">第三十七条  </w:t>
      </w:r>
      <w:r>
        <w:rPr>
          <w:rFonts w:hint="eastAsia" w:ascii="仿宋_GB2312" w:hAnsi="宋体" w:cs="仿宋_GB2312"/>
          <w:color w:val="000000"/>
          <w:szCs w:val="32"/>
        </w:rPr>
        <w:t>甲、乙双方中任何一方决定在合同期限届满后不再续约的，均应当在本合同期满</w:t>
      </w:r>
      <w:r>
        <w:rPr>
          <w:rFonts w:ascii="仿宋_GB2312" w:hAnsi="宋体" w:cs="仿宋_GB2312"/>
          <w:color w:val="000000"/>
          <w:szCs w:val="32"/>
        </w:rPr>
        <w:t>60</w:t>
      </w:r>
      <w:r>
        <w:rPr>
          <w:rFonts w:hint="eastAsia" w:ascii="仿宋_GB2312" w:hAnsi="宋体" w:cs="仿宋_GB2312"/>
          <w:color w:val="000000"/>
          <w:szCs w:val="32"/>
        </w:rPr>
        <w:t>日前书面通知对方。</w:t>
      </w:r>
    </w:p>
    <w:p w14:paraId="20EB158A">
      <w:pPr>
        <w:snapToGrid w:val="0"/>
        <w:spacing w:line="600" w:lineRule="exact"/>
        <w:ind w:firstLine="640" w:firstLineChars="200"/>
        <w:rPr>
          <w:rFonts w:ascii="仿宋_GB2312" w:hAnsi="宋体"/>
          <w:color w:val="000000"/>
          <w:szCs w:val="32"/>
        </w:rPr>
      </w:pPr>
      <w:r>
        <w:rPr>
          <w:rFonts w:hint="eastAsia" w:ascii="黑体" w:hAnsi="黑体" w:eastAsia="黑体" w:cs="黑体"/>
          <w:color w:val="000000"/>
          <w:szCs w:val="32"/>
        </w:rPr>
        <w:t xml:space="preserve">第三十八条  </w:t>
      </w:r>
      <w:r>
        <w:rPr>
          <w:rFonts w:hint="eastAsia" w:ascii="仿宋_GB2312" w:hAnsi="宋体" w:cs="仿宋_GB2312"/>
          <w:color w:val="000000"/>
          <w:szCs w:val="32"/>
        </w:rPr>
        <w:t>合同期限届满前，经业主大会决定继续聘用乙方的，应当在本合同期满</w:t>
      </w:r>
      <w:r>
        <w:rPr>
          <w:rFonts w:ascii="仿宋_GB2312" w:hAnsi="宋体" w:cs="仿宋_GB2312"/>
          <w:color w:val="000000"/>
          <w:szCs w:val="32"/>
        </w:rPr>
        <w:t>60</w:t>
      </w:r>
      <w:r>
        <w:rPr>
          <w:rFonts w:hint="eastAsia" w:ascii="仿宋_GB2312" w:hAnsi="宋体" w:cs="仿宋_GB2312"/>
          <w:color w:val="000000"/>
          <w:szCs w:val="32"/>
        </w:rPr>
        <w:t>日前书面通知乙方；乙方自接到续约通知</w:t>
      </w:r>
      <w:r>
        <w:rPr>
          <w:rFonts w:ascii="仿宋_GB2312" w:hAnsi="宋体" w:cs="仿宋_GB2312"/>
          <w:color w:val="000000"/>
          <w:szCs w:val="32"/>
        </w:rPr>
        <w:t>7</w:t>
      </w:r>
      <w:r>
        <w:rPr>
          <w:rFonts w:hint="eastAsia" w:ascii="仿宋_GB2312" w:hAnsi="宋体" w:cs="仿宋_GB2312"/>
          <w:color w:val="000000"/>
          <w:szCs w:val="32"/>
        </w:rPr>
        <w:t>日内回复甲方。</w:t>
      </w:r>
    </w:p>
    <w:p w14:paraId="031FD348">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乙方同意续签合同的，双方应当在合同期限届满前</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日内签订新的《物业服务合同》。</w:t>
      </w:r>
    </w:p>
    <w:p w14:paraId="46000DCD">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乙方不同意续签合同的，应当在合同期限届满前</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日内在物业服务区域内进行公告，并做好</w:t>
      </w:r>
      <w:r>
        <w:rPr>
          <w:rFonts w:hint="eastAsia" w:ascii="仿宋_GB2312" w:hAnsi="宋体" w:cs="仿宋_GB2312"/>
          <w:color w:val="000000"/>
          <w:kern w:val="0"/>
          <w:szCs w:val="32"/>
          <w:lang w:bidi="ar"/>
        </w:rPr>
        <w:t>共有部分</w:t>
      </w:r>
      <w:r>
        <w:rPr>
          <w:rFonts w:hint="eastAsia" w:ascii="仿宋_GB2312" w:hAnsi="宋体" w:cs="仿宋_GB2312"/>
          <w:color w:val="000000"/>
          <w:szCs w:val="32"/>
        </w:rPr>
        <w:t>及公用设施档案、物业服务档案、预收欠收代收费用等资料和账务的清理工作，并就交接内容、方式、时间、责任界限及债权债务结算方式与甲方平等协商，签订退管协议。</w:t>
      </w:r>
    </w:p>
    <w:p w14:paraId="6D555908">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第三十九条  </w:t>
      </w:r>
      <w:r>
        <w:rPr>
          <w:rFonts w:hint="eastAsia" w:ascii="仿宋_GB2312" w:hAnsi="宋体" w:cs="仿宋_GB2312"/>
          <w:color w:val="000000"/>
          <w:szCs w:val="32"/>
        </w:rPr>
        <w:t>合同期限届满，业主大会因故没有作出选聘或者续聘决定，也没有决定自行管理，乙方有权选择同意或不同意按照本合同约定继续提供服务。</w:t>
      </w:r>
    </w:p>
    <w:p w14:paraId="47BC0E01">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乙方同意继续提供服务的，本合同自动延续至业主大会作出选聘、续聘或自行管理决定为止。</w:t>
      </w:r>
    </w:p>
    <w:p w14:paraId="4315C8F1">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乙方不同意继续提供服务的，应在本合同期满90日前书面告知业主委员会、社区居委会，并本在物业区域内公告，合同期满即自行终止。</w:t>
      </w:r>
    </w:p>
    <w:p w14:paraId="539D393B">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第四十条  </w:t>
      </w:r>
      <w:r>
        <w:rPr>
          <w:rFonts w:hint="eastAsia" w:ascii="仿宋_GB2312" w:hAnsi="宋体" w:cs="仿宋_GB2312"/>
          <w:color w:val="000000"/>
          <w:szCs w:val="32"/>
        </w:rPr>
        <w:t>本合同终止后，甲、乙双方应当共同做好交接工作，包括物业服务费用预收及欠款的清算、外包合同及经营收益合同的履行交接、物业共有部分及公用设施的运行查验、相关档案资料的移交等，甲、乙双方应当相互配合，共同做好物业服务的交接和善后工作。</w:t>
      </w:r>
    </w:p>
    <w:p w14:paraId="07634381">
      <w:pPr>
        <w:snapToGrid w:val="0"/>
        <w:spacing w:line="600" w:lineRule="exact"/>
        <w:ind w:firstLine="640" w:firstLineChars="200"/>
        <w:rPr>
          <w:rFonts w:ascii="仿宋_GB2312" w:hAnsi="宋体" w:cs="仿宋_GB2312"/>
          <w:color w:val="000000"/>
          <w:szCs w:val="32"/>
        </w:rPr>
      </w:pPr>
    </w:p>
    <w:p w14:paraId="525C7B5D">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第十一章  违约责任</w:t>
      </w:r>
    </w:p>
    <w:p w14:paraId="2DEC9CDA">
      <w:pPr>
        <w:snapToGrid w:val="0"/>
        <w:spacing w:line="600" w:lineRule="exact"/>
        <w:ind w:firstLine="640" w:firstLineChars="200"/>
        <w:rPr>
          <w:rFonts w:ascii="仿宋_GB2312" w:cs="仿宋_GB2312"/>
          <w:color w:val="000000"/>
          <w:szCs w:val="32"/>
        </w:rPr>
      </w:pPr>
      <w:r>
        <w:rPr>
          <w:rFonts w:hint="eastAsia" w:ascii="黑体" w:hAnsi="黑体" w:eastAsia="黑体" w:cs="黑体"/>
          <w:color w:val="000000"/>
          <w:szCs w:val="32"/>
        </w:rPr>
        <w:t xml:space="preserve">第四十一条  </w:t>
      </w:r>
      <w:r>
        <w:rPr>
          <w:rFonts w:hint="eastAsia" w:ascii="仿宋_GB2312" w:cs="仿宋_GB2312"/>
          <w:color w:val="000000"/>
          <w:szCs w:val="32"/>
        </w:rPr>
        <w:t>乙方不履行本合同的约定，致使不能提供和达到本合同约定的服务内容和标准的，甲方有权依法解除合同，并有权要求乙方按其减少的服务支出予以赔偿。但</w:t>
      </w:r>
      <w:r>
        <w:rPr>
          <w:rFonts w:hint="eastAsia" w:ascii="仿宋_GB2312" w:hAnsi="宋体" w:cs="仿宋_GB2312"/>
          <w:color w:val="000000"/>
          <w:szCs w:val="32"/>
        </w:rPr>
        <w:t>业主（物业使用人）</w:t>
      </w:r>
      <w:r>
        <w:rPr>
          <w:rFonts w:hint="eastAsia" w:ascii="仿宋_GB2312" w:cs="仿宋_GB2312"/>
          <w:color w:val="000000"/>
          <w:szCs w:val="32"/>
        </w:rPr>
        <w:t>不得以乙方违反本合同约定为由拒绝交纳物业服务费。</w:t>
      </w:r>
    </w:p>
    <w:p w14:paraId="40D3A9B7">
      <w:pPr>
        <w:snapToGrid w:val="0"/>
        <w:spacing w:line="600" w:lineRule="exact"/>
        <w:ind w:firstLine="640" w:firstLineChars="200"/>
        <w:rPr>
          <w:rFonts w:ascii="仿宋_GB2312"/>
          <w:color w:val="000000"/>
          <w:szCs w:val="32"/>
          <w:u w:val="single"/>
        </w:rPr>
      </w:pPr>
      <w:r>
        <w:rPr>
          <w:rFonts w:hint="eastAsia" w:ascii="黑体" w:hAnsi="黑体" w:eastAsia="黑体" w:cs="黑体"/>
          <w:color w:val="000000"/>
          <w:szCs w:val="32"/>
        </w:rPr>
        <w:t xml:space="preserve">第四十二条  </w:t>
      </w:r>
      <w:r>
        <w:rPr>
          <w:rFonts w:hint="eastAsia" w:ascii="仿宋_GB2312" w:hAnsi="宋体" w:cs="仿宋_GB2312"/>
          <w:color w:val="000000"/>
          <w:szCs w:val="32"/>
        </w:rPr>
        <w:t>甲方、业主（物业使用人）</w:t>
      </w:r>
      <w:r>
        <w:rPr>
          <w:rFonts w:hint="eastAsia" w:ascii="仿宋_GB2312" w:cs="仿宋_GB2312"/>
          <w:color w:val="000000"/>
          <w:szCs w:val="32"/>
        </w:rPr>
        <w:t>违反本合同的约定，致使乙方未完成本合同约定物业服务内容的、未达到物业服务标准的，乙方不承担违约责任；造成乙方损失的，</w:t>
      </w:r>
      <w:r>
        <w:rPr>
          <w:rFonts w:hint="eastAsia" w:ascii="仿宋_GB2312" w:hAnsi="宋体" w:cs="仿宋_GB2312"/>
          <w:color w:val="000000"/>
          <w:szCs w:val="32"/>
        </w:rPr>
        <w:t>甲方、业主（物业使用人）应给予乙方经济赔偿</w:t>
      </w:r>
      <w:r>
        <w:rPr>
          <w:rFonts w:hint="eastAsia" w:ascii="仿宋_GB2312" w:cs="仿宋_GB2312"/>
          <w:color w:val="000000"/>
          <w:szCs w:val="32"/>
        </w:rPr>
        <w:t>。</w:t>
      </w:r>
    </w:p>
    <w:p w14:paraId="64FAA93C">
      <w:pPr>
        <w:snapToGrid w:val="0"/>
        <w:spacing w:line="600" w:lineRule="exact"/>
        <w:ind w:firstLine="640" w:firstLineChars="200"/>
        <w:rPr>
          <w:rFonts w:ascii="仿宋_GB2312"/>
          <w:color w:val="000000"/>
          <w:szCs w:val="32"/>
        </w:rPr>
      </w:pPr>
      <w:r>
        <w:rPr>
          <w:rFonts w:hint="eastAsia" w:ascii="黑体" w:hAnsi="黑体" w:eastAsia="黑体" w:cs="黑体"/>
          <w:color w:val="000000"/>
          <w:szCs w:val="32"/>
        </w:rPr>
        <w:t xml:space="preserve">第四十三条  </w:t>
      </w:r>
      <w:r>
        <w:rPr>
          <w:rFonts w:hint="eastAsia" w:ascii="仿宋_GB2312" w:cs="仿宋_GB2312"/>
          <w:color w:val="000000"/>
          <w:szCs w:val="32"/>
        </w:rPr>
        <w:t>乙方违反本合同约定，擅自扩大收费范围、重复收费或提高物业服务费收费标准的，业主(物业使用人)有权拒绝交纳擅自扩大、提高或重复收取的费用；已经收取的，乙方应当向业主(物业使用人)双倍返还擅自收取的部分</w:t>
      </w:r>
      <w:r>
        <w:rPr>
          <w:rFonts w:hint="eastAsia" w:ascii="仿宋_GB2312" w:hAnsi="宋体" w:cs="仿宋_GB2312"/>
          <w:color w:val="000000"/>
          <w:szCs w:val="32"/>
        </w:rPr>
        <w:t>。</w:t>
      </w:r>
    </w:p>
    <w:p w14:paraId="0C23E71C">
      <w:pPr>
        <w:snapToGrid w:val="0"/>
        <w:spacing w:line="600" w:lineRule="exact"/>
        <w:ind w:firstLine="640" w:firstLineChars="200"/>
        <w:jc w:val="left"/>
        <w:rPr>
          <w:rFonts w:ascii="仿宋_GB2312" w:hAnsi="宋体" w:cs="仿宋_GB2312"/>
          <w:color w:val="000000"/>
          <w:szCs w:val="32"/>
          <w:u w:val="single"/>
        </w:rPr>
      </w:pPr>
      <w:r>
        <w:rPr>
          <w:rFonts w:hint="eastAsia" w:ascii="黑体" w:hAnsi="黑体" w:eastAsia="黑体" w:cs="黑体"/>
          <w:color w:val="000000"/>
          <w:szCs w:val="32"/>
        </w:rPr>
        <w:t xml:space="preserve">第四十四条  </w:t>
      </w:r>
      <w:r>
        <w:rPr>
          <w:rFonts w:hint="eastAsia" w:ascii="仿宋_GB2312" w:hAnsi="宋体" w:cs="仿宋_GB2312"/>
          <w:color w:val="000000"/>
          <w:szCs w:val="32"/>
        </w:rPr>
        <w:t>乙方在本合同期限内擅自停止物业服务的</w:t>
      </w:r>
      <w:r>
        <w:rPr>
          <w:rFonts w:ascii="仿宋_GB2312" w:hAnsi="宋体" w:cs="仿宋_GB2312"/>
          <w:color w:val="000000"/>
          <w:szCs w:val="32"/>
        </w:rPr>
        <w:t xml:space="preserve">, </w:t>
      </w:r>
      <w:r>
        <w:rPr>
          <w:rFonts w:hint="eastAsia" w:ascii="仿宋_GB2312" w:hAnsi="宋体" w:cs="仿宋_GB2312"/>
          <w:color w:val="000000"/>
          <w:szCs w:val="32"/>
        </w:rPr>
        <w:t>甲方可要求乙方继续履行，采取补救措施，并应当按</w:t>
      </w:r>
      <w:r>
        <w:rPr>
          <w:rFonts w:hint="eastAsia" w:ascii="仿宋_GB2312" w:hAnsi="宋体" w:cs="仿宋_GB2312"/>
          <w:color w:val="000000"/>
          <w:szCs w:val="32"/>
          <w:u w:val="single"/>
        </w:rPr>
        <w:t xml:space="preserve">          </w:t>
      </w:r>
    </w:p>
    <w:p w14:paraId="223C0294">
      <w:pPr>
        <w:snapToGrid w:val="0"/>
        <w:spacing w:line="600" w:lineRule="exact"/>
        <w:jc w:val="left"/>
        <w:rPr>
          <w:rFonts w:ascii="仿宋_GB2312" w:hAnsi="宋体" w:cs="仿宋_GB2312"/>
          <w:color w:val="000000"/>
          <w:szCs w:val="32"/>
          <w:u w:val="single"/>
        </w:rPr>
      </w:pPr>
      <w:r>
        <w:rPr>
          <w:rFonts w:hint="eastAsia" w:ascii="仿宋_GB2312" w:hAnsi="宋体" w:cs="仿宋_GB2312"/>
          <w:color w:val="000000"/>
          <w:szCs w:val="32"/>
          <w:u w:val="single"/>
        </w:rPr>
        <w:t xml:space="preserve">     </w:t>
      </w:r>
      <w:r>
        <w:rPr>
          <w:rFonts w:hint="eastAsia" w:ascii="仿宋_GB2312" w:hAnsi="宋体" w:cs="仿宋_GB2312"/>
          <w:color w:val="000000"/>
          <w:szCs w:val="32"/>
        </w:rPr>
        <w:t>的标准向甲方支付违约金；前述行为给业主造成损失的，乙方应当赔偿相应的损失。乙方在本合同终止后拒不撤出本物业服务区域的，甲方有权要求乙方按时撤出物业服务区域，并应当按</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的标准向甲方支付违约金；前述行为给业主造成损失的，乙方应当赔偿相应的损失。</w:t>
      </w:r>
    </w:p>
    <w:p w14:paraId="4D242D5C">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第四十五条  </w:t>
      </w:r>
      <w:r>
        <w:rPr>
          <w:rFonts w:hint="eastAsia" w:ascii="仿宋_GB2312" w:hAnsi="宋体" w:cs="仿宋_GB2312"/>
          <w:color w:val="000000"/>
          <w:szCs w:val="32"/>
        </w:rPr>
        <w:t>业主违反本合同约定拖欠或拒绝交纳物业服务费用，且经乙方催告后仍不按时足额交纳的，</w:t>
      </w:r>
      <w:r>
        <w:rPr>
          <w:rFonts w:hint="eastAsia" w:ascii="仿宋_GB2312"/>
          <w:color w:val="000000"/>
          <w:spacing w:val="8"/>
          <w:szCs w:val="32"/>
        </w:rPr>
        <w:t>每日</w:t>
      </w:r>
      <w:r>
        <w:rPr>
          <w:rFonts w:hint="eastAsia" w:ascii="仿宋_GB2312" w:hAnsi="宋体" w:cs="仿宋_GB2312"/>
          <w:color w:val="000000"/>
          <w:szCs w:val="32"/>
        </w:rPr>
        <w:t>应当</w:t>
      </w:r>
      <w:r>
        <w:rPr>
          <w:rFonts w:hint="eastAsia" w:ascii="仿宋_GB2312" w:hAnsi="宋体"/>
          <w:color w:val="000000"/>
          <w:spacing w:val="8"/>
          <w:szCs w:val="32"/>
        </w:rPr>
        <w:t>按欠费金额</w:t>
      </w:r>
      <w:r>
        <w:rPr>
          <w:rFonts w:hint="eastAsia" w:ascii="仿宋_GB2312" w:hAnsi="宋体"/>
          <w:color w:val="000000"/>
          <w:szCs w:val="32"/>
          <w:u w:val="single"/>
        </w:rPr>
        <w:t xml:space="preserve">    </w:t>
      </w:r>
      <w:r>
        <w:rPr>
          <w:rFonts w:hint="eastAsia" w:ascii="仿宋_GB2312"/>
          <w:color w:val="000000"/>
          <w:szCs w:val="32"/>
        </w:rPr>
        <w:t>‰或</w:t>
      </w:r>
      <w:r>
        <w:rPr>
          <w:rFonts w:hint="eastAsia" w:ascii="仿宋_GB2312"/>
          <w:color w:val="000000"/>
          <w:szCs w:val="32"/>
          <w:u w:val="single"/>
        </w:rPr>
        <w:t xml:space="preserve">         </w:t>
      </w:r>
      <w:r>
        <w:rPr>
          <w:rFonts w:hint="eastAsia" w:ascii="仿宋_GB2312"/>
          <w:color w:val="000000"/>
          <w:szCs w:val="32"/>
        </w:rPr>
        <w:t>的比例</w:t>
      </w:r>
      <w:r>
        <w:rPr>
          <w:rFonts w:hint="eastAsia" w:ascii="仿宋_GB2312" w:hAnsi="宋体"/>
          <w:color w:val="000000"/>
          <w:szCs w:val="32"/>
        </w:rPr>
        <w:t>向乙方支付</w:t>
      </w:r>
      <w:r>
        <w:rPr>
          <w:rFonts w:hint="eastAsia" w:ascii="仿宋_GB2312"/>
          <w:color w:val="000000"/>
          <w:szCs w:val="32"/>
        </w:rPr>
        <w:t>违约金。</w:t>
      </w:r>
    </w:p>
    <w:p w14:paraId="6CF0FD7E">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业主（物业使用人）违反本合同的约定，</w:t>
      </w:r>
      <w:bookmarkStart w:id="17" w:name="OLE_LINK25"/>
      <w:r>
        <w:rPr>
          <w:rFonts w:hint="eastAsia" w:ascii="仿宋_GB2312" w:hAnsi="宋体" w:cs="仿宋_GB2312"/>
          <w:color w:val="000000"/>
          <w:szCs w:val="32"/>
        </w:rPr>
        <w:t>实施妨害物业服务及侵权行为的</w:t>
      </w:r>
      <w:bookmarkEnd w:id="17"/>
      <w:r>
        <w:rPr>
          <w:rFonts w:hint="eastAsia" w:ascii="仿宋_GB2312" w:hAnsi="宋体" w:cs="仿宋_GB2312"/>
          <w:color w:val="000000"/>
          <w:szCs w:val="32"/>
        </w:rPr>
        <w:t>，应当承担恢复原状、停止侵害、排除妨碍、赔偿损失等相应的民事责任。</w:t>
      </w:r>
    </w:p>
    <w:p w14:paraId="7BA705C2">
      <w:pPr>
        <w:snapToGrid w:val="0"/>
        <w:spacing w:line="600" w:lineRule="exact"/>
        <w:ind w:firstLine="640" w:firstLineChars="200"/>
        <w:rPr>
          <w:rFonts w:ascii="仿宋_GB2312" w:hAnsi="宋体"/>
          <w:color w:val="000000"/>
          <w:szCs w:val="32"/>
        </w:rPr>
      </w:pPr>
      <w:r>
        <w:rPr>
          <w:rFonts w:hint="eastAsia" w:ascii="黑体" w:hAnsi="黑体" w:eastAsia="黑体" w:cs="黑体"/>
          <w:color w:val="000000"/>
          <w:szCs w:val="32"/>
        </w:rPr>
        <w:t xml:space="preserve">第四十六条  </w:t>
      </w:r>
      <w:r>
        <w:rPr>
          <w:rFonts w:hint="eastAsia" w:ascii="仿宋_GB2312" w:hAnsi="宋体" w:cs="仿宋_GB2312"/>
          <w:color w:val="000000"/>
          <w:szCs w:val="32"/>
        </w:rPr>
        <w:t>因不可抗力致使合同部分或全部无法履行的，根据不可抗力的影响，部分或全部免除责任。</w:t>
      </w:r>
    </w:p>
    <w:p w14:paraId="1AEC0B57">
      <w:pPr>
        <w:snapToGrid w:val="0"/>
        <w:spacing w:line="600" w:lineRule="exact"/>
        <w:ind w:firstLine="640" w:firstLineChars="200"/>
        <w:rPr>
          <w:rFonts w:ascii="黑体" w:hAnsi="黑体" w:eastAsia="黑体" w:cs="黑体"/>
          <w:color w:val="000000"/>
          <w:szCs w:val="32"/>
        </w:rPr>
      </w:pPr>
      <w:r>
        <w:rPr>
          <w:rFonts w:hint="eastAsia" w:ascii="黑体" w:hAnsi="黑体" w:eastAsia="黑体" w:cs="黑体"/>
          <w:color w:val="000000"/>
          <w:szCs w:val="32"/>
        </w:rPr>
        <w:t xml:space="preserve">第四十七条  </w:t>
      </w:r>
      <w:r>
        <w:rPr>
          <w:rFonts w:hint="eastAsia" w:ascii="仿宋_GB2312" w:hAnsi="黑体" w:cs="黑体"/>
          <w:color w:val="000000"/>
          <w:szCs w:val="32"/>
        </w:rPr>
        <w:t>本</w:t>
      </w:r>
      <w:r>
        <w:rPr>
          <w:rFonts w:hint="eastAsia" w:ascii="仿宋_GB2312" w:hAnsi="宋体" w:cs="仿宋_GB2312"/>
          <w:color w:val="000000"/>
          <w:szCs w:val="32"/>
        </w:rPr>
        <w:t>合同终止后乙方拖延、拒绝移交及撤场的，业主有权拒绝交纳合同终止后的物业服务费，甲方可向当地</w:t>
      </w:r>
      <w:bookmarkStart w:id="18" w:name="OLE_LINK29"/>
      <w:bookmarkStart w:id="19" w:name="OLE_LINK30"/>
      <w:r>
        <w:rPr>
          <w:rFonts w:hint="eastAsia" w:ascii="仿宋_GB2312" w:hAnsi="宋体" w:cs="仿宋_GB2312"/>
          <w:color w:val="000000"/>
          <w:szCs w:val="32"/>
        </w:rPr>
        <w:t>房产行政主管</w:t>
      </w:r>
      <w:bookmarkEnd w:id="18"/>
      <w:bookmarkEnd w:id="19"/>
      <w:r>
        <w:rPr>
          <w:rFonts w:hint="eastAsia" w:ascii="仿宋_GB2312" w:hAnsi="宋体" w:cs="仿宋_GB2312"/>
          <w:color w:val="000000"/>
          <w:szCs w:val="32"/>
        </w:rPr>
        <w:t>部门投诉，由当地街道办事处（乡镇人民政府）组织移交。</w:t>
      </w:r>
    </w:p>
    <w:p w14:paraId="44917145">
      <w:pPr>
        <w:snapToGrid w:val="0"/>
        <w:spacing w:line="600" w:lineRule="exact"/>
        <w:ind w:firstLine="640" w:firstLineChars="200"/>
        <w:rPr>
          <w:rFonts w:ascii="仿宋_GB2312" w:hAnsi="宋体" w:cs="仿宋_GB2312"/>
          <w:color w:val="000000"/>
          <w:szCs w:val="32"/>
        </w:rPr>
      </w:pPr>
      <w:r>
        <w:rPr>
          <w:rFonts w:hint="eastAsia" w:ascii="黑体" w:hAnsi="黑体" w:eastAsia="黑体" w:cs="黑体"/>
          <w:color w:val="000000"/>
          <w:szCs w:val="32"/>
        </w:rPr>
        <w:t xml:space="preserve">第四十八条  </w:t>
      </w:r>
      <w:r>
        <w:rPr>
          <w:rFonts w:hint="eastAsia" w:ascii="仿宋_GB2312" w:hAnsi="宋体" w:cs="仿宋_GB2312"/>
          <w:color w:val="000000"/>
          <w:szCs w:val="32"/>
        </w:rPr>
        <w:t>合同其他相关违约责任的约定：</w:t>
      </w:r>
    </w:p>
    <w:p w14:paraId="30CB71E5">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1.</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 xml:space="preserve"> ;</w:t>
      </w:r>
    </w:p>
    <w:p w14:paraId="226143B1">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2.</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2C88BAEA">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3.</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7EFBC2BC">
      <w:pPr>
        <w:snapToGrid w:val="0"/>
        <w:spacing w:line="600" w:lineRule="exact"/>
        <w:ind w:firstLine="640" w:firstLineChars="200"/>
        <w:rPr>
          <w:rFonts w:ascii="仿宋_GB2312" w:hAnsi="宋体"/>
          <w:color w:val="000000"/>
          <w:szCs w:val="32"/>
        </w:rPr>
      </w:pPr>
      <w:r>
        <w:rPr>
          <w:rFonts w:hint="eastAsia" w:ascii="黑体" w:hAnsi="黑体" w:eastAsia="黑体" w:cs="黑体"/>
          <w:color w:val="000000"/>
          <w:szCs w:val="32"/>
        </w:rPr>
        <w:t xml:space="preserve">第四十九条 </w:t>
      </w:r>
      <w:r>
        <w:rPr>
          <w:rFonts w:hint="eastAsia" w:ascii="仿宋_GB2312" w:hAnsi="宋体" w:cs="仿宋_GB2312"/>
          <w:color w:val="000000"/>
          <w:szCs w:val="32"/>
        </w:rPr>
        <w:t>乙方有确切证据证明属于以下情况的，可不承担违约责任：</w:t>
      </w:r>
    </w:p>
    <w:p w14:paraId="1851DEE6">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（一）由于甲方、业主（物业使用人）的自身责任导致乙方的服务无法达到合同要求的；</w:t>
      </w:r>
    </w:p>
    <w:p w14:paraId="25EFAAC6">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（二）因物业专有部分内专有部位及专有设施设备固有瑕疵所致的一切损害，但因乙方故意或乙方违反本合同义务而直接导致的情况除外；</w:t>
      </w:r>
    </w:p>
    <w:p w14:paraId="02CB8F8E">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（三）非乙方责任出现供水、供电、供气、供热、通讯、有线电视及其他公用设施运行故障造成损失的；</w:t>
      </w:r>
    </w:p>
    <w:p w14:paraId="0D2E0217">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（四）乙方按本合同履行协助做好物业服务区域内的安全防范义务,但发生不可预见、不可避免的治安或刑事案件（包括但不限于抢劫、破坏、爆炸、火灾、盗窃、自然灾害等）的；</w:t>
      </w:r>
    </w:p>
    <w:p w14:paraId="5DF82D50">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（五）因维修养护本物业服务区域内的共有部分和公用设施需要且事先已告知业主（物业使用人），暂时停水、停电、停止公用设施使用等非乙方责任造成损失的；</w:t>
      </w:r>
    </w:p>
    <w:p w14:paraId="170172A5">
      <w:pPr>
        <w:snapToGrid w:val="0"/>
        <w:spacing w:line="600" w:lineRule="exact"/>
        <w:ind w:firstLine="640" w:firstLineChars="200"/>
        <w:rPr>
          <w:rFonts w:ascii="仿宋_GB2312" w:hAnsi="宋体"/>
          <w:color w:val="000000"/>
          <w:szCs w:val="32"/>
        </w:rPr>
      </w:pPr>
      <w:r>
        <w:rPr>
          <w:rFonts w:hint="eastAsia" w:ascii="仿宋_GB2312" w:hAnsi="宋体" w:cs="仿宋_GB2312"/>
          <w:color w:val="000000"/>
          <w:szCs w:val="32"/>
        </w:rPr>
        <w:t>（六）乙方向甲方或业主提出书面建议要求修缮、改造专有或共有部分、公用设施或纠正不良行为，而甲方或业主（物业使用人）未采纳（包括但不限于高空抛物、违章装饰装修、未及时维修或改造等）所致之损害；</w:t>
      </w:r>
    </w:p>
    <w:p w14:paraId="506C148F">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（七）属于物业专项维修资金或共有资金列支范围的，因未通过业主大会同意而未维修、更新、改造物业的共有部分、公用设施造成相关后果的；</w:t>
      </w:r>
    </w:p>
    <w:p w14:paraId="7D008842">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（八）其他本物业服务区域内全体业主共同决策从而造成的失误；</w:t>
      </w:r>
    </w:p>
    <w:p w14:paraId="7E126042">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（九）</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w:t>
      </w:r>
    </w:p>
    <w:p w14:paraId="3E35C600">
      <w:pPr>
        <w:snapToGrid w:val="0"/>
        <w:spacing w:line="600" w:lineRule="exact"/>
        <w:ind w:firstLine="640" w:firstLineChars="200"/>
        <w:rPr>
          <w:rFonts w:ascii="黑体" w:hAnsi="黑体" w:eastAsia="黑体" w:cs="黑体"/>
          <w:color w:val="000000"/>
          <w:kern w:val="0"/>
          <w:szCs w:val="32"/>
        </w:rPr>
      </w:pPr>
    </w:p>
    <w:p w14:paraId="416D06D2">
      <w:pPr>
        <w:spacing w:line="600" w:lineRule="exact"/>
        <w:jc w:val="center"/>
        <w:rPr>
          <w:rFonts w:ascii="黑体" w:hAnsi="黑体" w:eastAsia="黑体" w:cs="黑体"/>
          <w:color w:val="000000"/>
          <w:szCs w:val="32"/>
        </w:rPr>
      </w:pPr>
      <w:r>
        <w:rPr>
          <w:rFonts w:hint="eastAsia" w:ascii="黑体" w:hAnsi="黑体" w:eastAsia="黑体" w:cs="黑体"/>
          <w:color w:val="000000"/>
          <w:szCs w:val="32"/>
        </w:rPr>
        <w:t xml:space="preserve">第十二章 </w:t>
      </w:r>
      <w:r>
        <w:rPr>
          <w:rFonts w:ascii="黑体" w:hAnsi="黑体" w:eastAsia="黑体" w:cs="黑体"/>
          <w:color w:val="000000"/>
          <w:szCs w:val="32"/>
        </w:rPr>
        <w:t> </w:t>
      </w:r>
      <w:r>
        <w:rPr>
          <w:rFonts w:hint="eastAsia" w:ascii="黑体" w:hAnsi="黑体" w:eastAsia="黑体" w:cs="黑体"/>
          <w:color w:val="000000"/>
          <w:szCs w:val="32"/>
        </w:rPr>
        <w:t>其他事项</w:t>
      </w:r>
    </w:p>
    <w:p w14:paraId="3923B74D">
      <w:pPr>
        <w:snapToGrid w:val="0"/>
        <w:spacing w:line="600" w:lineRule="exact"/>
        <w:ind w:firstLine="640" w:firstLineChars="200"/>
        <w:jc w:val="left"/>
        <w:rPr>
          <w:rFonts w:ascii="仿宋_GB2312"/>
          <w:color w:val="000000"/>
          <w:szCs w:val="32"/>
        </w:rPr>
      </w:pPr>
      <w:r>
        <w:rPr>
          <w:rFonts w:hint="eastAsia" w:ascii="黑体" w:hAnsi="黑体" w:eastAsia="黑体" w:cs="黑体"/>
          <w:color w:val="000000"/>
          <w:szCs w:val="32"/>
        </w:rPr>
        <w:t xml:space="preserve">第五十条  </w:t>
      </w:r>
      <w:r>
        <w:rPr>
          <w:rFonts w:hint="eastAsia" w:ascii="仿宋_GB2312" w:hAnsi="宋体" w:cs="仿宋_GB2312"/>
          <w:color w:val="000000"/>
          <w:szCs w:val="32"/>
        </w:rPr>
        <w:t>合同履行过程中发生争议的，双方可以通过友好协商或者向物业所在地房产行政主管部门、行业协会、街道办事处、乡镇人民政府以及社区人民调解组织申请调解的方式解决；不愿协商、调解或者协商、调解不成的，可以按照以下第</w:t>
      </w:r>
      <w:r>
        <w:rPr>
          <w:rFonts w:ascii="仿宋_GB2312"/>
          <w:color w:val="000000"/>
          <w:szCs w:val="32"/>
          <w:u w:val="single"/>
        </w:rPr>
        <w:t> </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种方式解决：</w:t>
      </w:r>
    </w:p>
    <w:p w14:paraId="7DFD15C9">
      <w:pPr>
        <w:snapToGrid w:val="0"/>
        <w:spacing w:line="600" w:lineRule="exact"/>
        <w:ind w:firstLine="640" w:firstLineChars="200"/>
        <w:rPr>
          <w:rFonts w:ascii="仿宋_GB2312" w:cs="仿宋_GB2312"/>
          <w:color w:val="000000"/>
          <w:szCs w:val="32"/>
        </w:rPr>
      </w:pPr>
      <w:r>
        <w:rPr>
          <w:rFonts w:hint="eastAsia" w:ascii="仿宋_GB2312" w:hAnsi="宋体" w:cs="仿宋_GB2312"/>
          <w:color w:val="000000"/>
          <w:szCs w:val="32"/>
        </w:rPr>
        <w:t>（一）向物业所在地仲裁委员会申请仲裁；</w:t>
      </w:r>
    </w:p>
    <w:p w14:paraId="6E4E0A4D">
      <w:pPr>
        <w:snapToGrid w:val="0"/>
        <w:spacing w:line="600" w:lineRule="exact"/>
        <w:ind w:firstLine="640" w:firstLineChars="200"/>
        <w:rPr>
          <w:rFonts w:ascii="仿宋_GB2312"/>
          <w:color w:val="000000"/>
          <w:szCs w:val="32"/>
        </w:rPr>
      </w:pPr>
      <w:r>
        <w:rPr>
          <w:rFonts w:hint="eastAsia" w:ascii="仿宋_GB2312" w:hAnsi="宋体" w:cs="仿宋_GB2312"/>
          <w:color w:val="000000"/>
          <w:szCs w:val="32"/>
        </w:rPr>
        <w:t>（二）向物业所在地人民法院提起诉讼。</w:t>
      </w:r>
    </w:p>
    <w:p w14:paraId="6E4B4B7A">
      <w:pPr>
        <w:snapToGrid w:val="0"/>
        <w:spacing w:line="600" w:lineRule="exact"/>
        <w:ind w:firstLine="640" w:firstLineChars="200"/>
        <w:rPr>
          <w:rFonts w:ascii="仿宋_GB2312" w:hAnsi="宋体"/>
          <w:color w:val="000000"/>
          <w:szCs w:val="32"/>
        </w:rPr>
      </w:pPr>
      <w:r>
        <w:rPr>
          <w:rFonts w:hint="eastAsia" w:ascii="黑体" w:hAnsi="黑体" w:eastAsia="黑体" w:cs="黑体"/>
          <w:color w:val="000000"/>
          <w:szCs w:val="32"/>
        </w:rPr>
        <w:t xml:space="preserve">第五十一条  </w:t>
      </w:r>
      <w:r>
        <w:rPr>
          <w:rFonts w:hint="eastAsia" w:ascii="仿宋_GB2312" w:hAnsi="宋体" w:cs="仿宋_GB2312"/>
          <w:color w:val="000000"/>
          <w:szCs w:val="32"/>
        </w:rPr>
        <w:t>为维护公共利益，在不可预见情况下，如发生燃气泄漏、设施设备故障、火灾、暖气管或水管破裂、救助人命、协助公安机关执行任务等突发事件，乙方因采取紧急避险措施造成损失的，甲、乙双方可按有关规定处理。</w:t>
      </w:r>
    </w:p>
    <w:p w14:paraId="3708D539">
      <w:pPr>
        <w:snapToGrid w:val="0"/>
        <w:spacing w:line="600" w:lineRule="exact"/>
        <w:ind w:firstLine="640" w:firstLineChars="200"/>
        <w:rPr>
          <w:rFonts w:ascii="仿宋_GB2312"/>
          <w:color w:val="000000"/>
          <w:szCs w:val="32"/>
        </w:rPr>
      </w:pPr>
      <w:r>
        <w:rPr>
          <w:rFonts w:hint="eastAsia" w:ascii="黑体" w:hAnsi="黑体" w:eastAsia="黑体" w:cs="黑体"/>
          <w:color w:val="000000"/>
          <w:szCs w:val="32"/>
        </w:rPr>
        <w:t xml:space="preserve">第五十二条  </w:t>
      </w:r>
      <w:r>
        <w:rPr>
          <w:rFonts w:hint="eastAsia" w:ascii="仿宋_GB2312" w:hAnsi="宋体" w:cs="仿宋_GB2312"/>
          <w:color w:val="000000"/>
          <w:szCs w:val="32"/>
        </w:rPr>
        <w:t>本合同未尽事宜，甲、乙双方</w:t>
      </w:r>
      <w:r>
        <w:rPr>
          <w:rFonts w:hint="eastAsia" w:ascii="仿宋_GB2312" w:cs="仿宋_GB2312"/>
          <w:color w:val="000000"/>
          <w:szCs w:val="32"/>
        </w:rPr>
        <w:t>可以书面形式签订补充协议。本合同补充协议、附件均为合同有效组成部分，</w:t>
      </w:r>
      <w:r>
        <w:rPr>
          <w:rFonts w:hint="eastAsia" w:ascii="仿宋_GB2312" w:hAnsi="宋体" w:cs="仿宋_GB2312"/>
          <w:color w:val="000000"/>
          <w:szCs w:val="32"/>
        </w:rPr>
        <w:t>甲、乙双方应签字确认，</w:t>
      </w:r>
      <w:r>
        <w:rPr>
          <w:rFonts w:hint="eastAsia" w:ascii="仿宋_GB2312" w:cs="仿宋_GB2312"/>
          <w:color w:val="000000"/>
          <w:szCs w:val="32"/>
        </w:rPr>
        <w:t>与本合同具有同等法律效力。</w:t>
      </w:r>
    </w:p>
    <w:p w14:paraId="5BECE093">
      <w:pPr>
        <w:snapToGrid w:val="0"/>
        <w:spacing w:line="600" w:lineRule="exact"/>
        <w:ind w:firstLine="640" w:firstLineChars="200"/>
        <w:rPr>
          <w:rFonts w:ascii="仿宋_GB2312"/>
          <w:color w:val="000000"/>
          <w:szCs w:val="32"/>
        </w:rPr>
      </w:pPr>
      <w:r>
        <w:rPr>
          <w:rFonts w:hint="eastAsia" w:ascii="黑体" w:hAnsi="黑体" w:eastAsia="黑体" w:cs="黑体"/>
          <w:color w:val="000000"/>
          <w:szCs w:val="32"/>
        </w:rPr>
        <w:t xml:space="preserve">第五十三条  </w:t>
      </w:r>
      <w:r>
        <w:rPr>
          <w:rFonts w:hint="eastAsia" w:ascii="仿宋_GB2312" w:hAnsi="宋体" w:cs="仿宋_GB2312"/>
          <w:color w:val="000000"/>
          <w:kern w:val="0"/>
          <w:szCs w:val="32"/>
        </w:rPr>
        <w:t>本合同一式五份，经甲、乙双方盖章后生效。甲、乙双方各执两份，由</w:t>
      </w:r>
      <w:r>
        <w:rPr>
          <w:rFonts w:hint="eastAsia" w:ascii="仿宋_GB2312" w:hAnsi="宋体" w:cs="仿宋_GB2312"/>
          <w:color w:val="000000"/>
          <w:kern w:val="0"/>
          <w:szCs w:val="32"/>
          <w:lang w:eastAsia="zh-CN"/>
        </w:rPr>
        <w:t>甲</w:t>
      </w:r>
      <w:bookmarkStart w:id="24" w:name="_GoBack"/>
      <w:bookmarkEnd w:id="24"/>
      <w:r>
        <w:rPr>
          <w:rFonts w:hint="eastAsia" w:ascii="仿宋_GB2312" w:hAnsi="宋体" w:cs="仿宋_GB2312"/>
          <w:color w:val="000000"/>
          <w:kern w:val="0"/>
          <w:szCs w:val="32"/>
        </w:rPr>
        <w:t>方报物业所在地房产行政主管部门存档一份。本合同约定的时间期限均为自然日。</w:t>
      </w:r>
    </w:p>
    <w:p w14:paraId="18DD5C3E">
      <w:pPr>
        <w:snapToGrid w:val="0"/>
        <w:spacing w:line="600" w:lineRule="exact"/>
        <w:ind w:firstLine="640" w:firstLineChars="200"/>
        <w:rPr>
          <w:rFonts w:ascii="仿宋_GB2312" w:hAnsi="宋体" w:cs="仿宋_GB2312"/>
          <w:color w:val="000000"/>
          <w:szCs w:val="32"/>
        </w:rPr>
      </w:pPr>
    </w:p>
    <w:p w14:paraId="27B2A90F">
      <w:pPr>
        <w:snapToGrid w:val="0"/>
        <w:spacing w:line="600" w:lineRule="exact"/>
        <w:ind w:firstLine="640" w:firstLineChars="200"/>
        <w:rPr>
          <w:rFonts w:ascii="仿宋_GB2312" w:hAnsi="宋体" w:cs="仿宋_GB2312"/>
          <w:color w:val="000000"/>
          <w:szCs w:val="32"/>
        </w:rPr>
      </w:pPr>
      <w:r>
        <w:rPr>
          <w:rFonts w:hint="eastAsia" w:ascii="仿宋_GB2312" w:hAnsi="宋体" w:cs="仿宋_GB2312"/>
          <w:color w:val="000000"/>
          <w:szCs w:val="32"/>
        </w:rPr>
        <w:t>附件：</w:t>
      </w:r>
      <w:r>
        <w:rPr>
          <w:rFonts w:ascii="仿宋_GB2312" w:hAnsi="宋体" w:cs="仿宋_GB2312"/>
          <w:color w:val="000000"/>
          <w:szCs w:val="32"/>
        </w:rPr>
        <w:t>1</w:t>
      </w:r>
      <w:r>
        <w:rPr>
          <w:rFonts w:hint="eastAsia" w:ascii="仿宋_GB2312" w:hAnsi="宋体" w:cs="仿宋_GB2312"/>
          <w:color w:val="000000"/>
          <w:szCs w:val="32"/>
        </w:rPr>
        <w:t>.规划平面图</w:t>
      </w:r>
    </w:p>
    <w:p w14:paraId="07992FAD">
      <w:pPr>
        <w:snapToGrid w:val="0"/>
        <w:spacing w:line="600" w:lineRule="exact"/>
        <w:ind w:firstLine="640" w:firstLineChars="200"/>
        <w:rPr>
          <w:rFonts w:ascii="仿宋_GB2312" w:hAnsi="宋体" w:cs="仿宋_GB2312"/>
          <w:color w:val="000000"/>
          <w:szCs w:val="32"/>
        </w:rPr>
      </w:pPr>
      <w:r>
        <w:rPr>
          <w:rFonts w:ascii="仿宋_GB2312" w:hAnsi="宋体" w:cs="仿宋_GB2312"/>
          <w:color w:val="000000"/>
          <w:szCs w:val="32"/>
        </w:rPr>
        <w:t xml:space="preserve">    </w:t>
      </w:r>
      <w:r>
        <w:rPr>
          <w:rFonts w:hint="eastAsia" w:ascii="仿宋_GB2312" w:hAnsi="宋体" w:cs="仿宋_GB2312"/>
          <w:color w:val="000000"/>
          <w:szCs w:val="32"/>
        </w:rPr>
        <w:t xml:space="preserve"> </w:t>
      </w:r>
      <w:r>
        <w:rPr>
          <w:rFonts w:ascii="仿宋_GB2312" w:hAnsi="宋体" w:cs="仿宋_GB2312"/>
          <w:color w:val="000000"/>
          <w:szCs w:val="32"/>
        </w:rPr>
        <w:t xml:space="preserve"> </w:t>
      </w:r>
      <w:r>
        <w:rPr>
          <w:rFonts w:hint="eastAsia" w:ascii="仿宋_GB2312" w:hAnsi="宋体" w:cs="仿宋_GB2312"/>
          <w:color w:val="000000"/>
          <w:szCs w:val="32"/>
        </w:rPr>
        <w:t>2.物业服务区域平面图</w:t>
      </w:r>
    </w:p>
    <w:p w14:paraId="3927810D">
      <w:pPr>
        <w:snapToGrid w:val="0"/>
        <w:spacing w:line="600" w:lineRule="exact"/>
        <w:ind w:firstLine="1600" w:firstLineChars="500"/>
        <w:rPr>
          <w:rFonts w:ascii="仿宋_GB2312" w:hAnsi="宋体"/>
          <w:color w:val="000000"/>
          <w:szCs w:val="32"/>
        </w:rPr>
      </w:pPr>
      <w:r>
        <w:rPr>
          <w:rFonts w:hint="eastAsia" w:ascii="仿宋_GB2312" w:hAnsi="宋体" w:cs="仿宋_GB2312"/>
          <w:color w:val="000000"/>
          <w:szCs w:val="32"/>
        </w:rPr>
        <w:t>3.物业构成明细</w:t>
      </w:r>
    </w:p>
    <w:p w14:paraId="05B483A2">
      <w:pPr>
        <w:snapToGrid w:val="0"/>
        <w:spacing w:line="600" w:lineRule="exact"/>
        <w:ind w:firstLine="640" w:firstLineChars="200"/>
        <w:rPr>
          <w:rFonts w:ascii="仿宋_GB2312" w:hAnsi="宋体" w:cs="仿宋_GB2312"/>
          <w:color w:val="000000"/>
          <w:spacing w:val="-10"/>
          <w:szCs w:val="32"/>
        </w:rPr>
      </w:pPr>
      <w:r>
        <w:rPr>
          <w:rFonts w:ascii="仿宋_GB2312" w:hAnsi="宋体" w:cs="仿宋_GB2312"/>
          <w:color w:val="000000"/>
          <w:szCs w:val="32"/>
        </w:rPr>
        <w:t xml:space="preserve">      </w:t>
      </w:r>
      <w:r>
        <w:rPr>
          <w:rFonts w:hint="eastAsia" w:ascii="仿宋_GB2312" w:hAnsi="宋体" w:cs="仿宋_GB2312"/>
          <w:color w:val="000000"/>
          <w:szCs w:val="32"/>
        </w:rPr>
        <w:t>4.物业共有部分明细</w:t>
      </w:r>
    </w:p>
    <w:p w14:paraId="4CB0260D">
      <w:pPr>
        <w:snapToGrid w:val="0"/>
        <w:spacing w:line="600" w:lineRule="exact"/>
        <w:ind w:firstLine="1600" w:firstLineChars="500"/>
        <w:rPr>
          <w:rFonts w:ascii="仿宋_GB2312" w:hAnsi="宋体" w:cs="仿宋_GB2312"/>
          <w:color w:val="000000"/>
          <w:szCs w:val="32"/>
        </w:rPr>
      </w:pPr>
      <w:r>
        <w:rPr>
          <w:rFonts w:hint="eastAsia" w:ascii="仿宋_GB2312" w:hAnsi="宋体" w:cs="仿宋_GB2312"/>
          <w:color w:val="000000"/>
          <w:szCs w:val="32"/>
        </w:rPr>
        <w:t>5.物业公用设施明细</w:t>
      </w:r>
    </w:p>
    <w:p w14:paraId="5ACC33ED">
      <w:pPr>
        <w:snapToGrid w:val="0"/>
        <w:spacing w:line="600" w:lineRule="exact"/>
        <w:ind w:firstLine="1600" w:firstLineChars="500"/>
        <w:rPr>
          <w:rFonts w:ascii="仿宋_GB2312"/>
          <w:color w:val="000000"/>
          <w:szCs w:val="32"/>
        </w:rPr>
      </w:pPr>
      <w:r>
        <w:rPr>
          <w:rFonts w:hint="eastAsia" w:ascii="仿宋_GB2312" w:hAnsi="宋体"/>
          <w:bCs/>
          <w:color w:val="000000"/>
          <w:szCs w:val="32"/>
        </w:rPr>
        <w:t>6.物业查验、交接协议</w:t>
      </w:r>
    </w:p>
    <w:p w14:paraId="58898A03">
      <w:pPr>
        <w:snapToGrid w:val="0"/>
        <w:spacing w:line="600" w:lineRule="exact"/>
        <w:ind w:firstLine="1600" w:firstLineChars="500"/>
        <w:rPr>
          <w:rFonts w:ascii="仿宋_GB2312" w:hAnsi="宋体"/>
          <w:bCs/>
          <w:color w:val="000000"/>
          <w:szCs w:val="32"/>
        </w:rPr>
      </w:pPr>
      <w:r>
        <w:rPr>
          <w:rFonts w:hint="eastAsia" w:ascii="仿宋_GB2312"/>
          <w:color w:val="000000"/>
          <w:szCs w:val="32"/>
        </w:rPr>
        <w:t>7.</w:t>
      </w:r>
      <w:r>
        <w:rPr>
          <w:rFonts w:hint="eastAsia" w:ascii="仿宋_GB2312" w:hAnsi="宋体" w:cs="仿宋_GB2312"/>
          <w:color w:val="000000"/>
          <w:szCs w:val="32"/>
        </w:rPr>
        <w:t>物业服务等级标准</w:t>
      </w:r>
    </w:p>
    <w:p w14:paraId="1B956419">
      <w:pPr>
        <w:snapToGrid w:val="0"/>
        <w:spacing w:line="600" w:lineRule="exact"/>
        <w:ind w:firstLine="640" w:firstLineChars="200"/>
        <w:rPr>
          <w:rFonts w:ascii="仿宋_GB2312" w:hAnsi="宋体" w:cs="仿宋_GB2312"/>
          <w:bCs/>
          <w:color w:val="000000"/>
          <w:szCs w:val="32"/>
        </w:rPr>
      </w:pPr>
      <w:r>
        <w:rPr>
          <w:rFonts w:hint="eastAsia" w:ascii="仿宋_GB2312"/>
          <w:color w:val="000000"/>
          <w:szCs w:val="32"/>
        </w:rPr>
        <w:t xml:space="preserve">      8.</w:t>
      </w:r>
      <w:r>
        <w:rPr>
          <w:rFonts w:hint="eastAsia" w:ascii="仿宋_GB2312" w:hAnsi="宋体" w:cs="仿宋_GB2312"/>
          <w:bCs/>
          <w:color w:val="000000"/>
          <w:szCs w:val="32"/>
        </w:rPr>
        <w:t>项目负责人及主要专业技术与管理人员基本情况</w:t>
      </w:r>
    </w:p>
    <w:p w14:paraId="5A58CA83">
      <w:pPr>
        <w:snapToGrid w:val="0"/>
        <w:spacing w:line="600" w:lineRule="exact"/>
        <w:ind w:firstLine="640" w:firstLineChars="200"/>
        <w:rPr>
          <w:rFonts w:ascii="仿宋_GB2312" w:hAnsi="宋体"/>
          <w:color w:val="000000"/>
          <w:szCs w:val="32"/>
        </w:rPr>
      </w:pPr>
      <w:r>
        <w:rPr>
          <w:rFonts w:hint="eastAsia" w:ascii="仿宋_GB2312" w:hAnsi="宋体" w:cs="仿宋_GB2312"/>
          <w:bCs/>
          <w:color w:val="000000"/>
          <w:szCs w:val="32"/>
        </w:rPr>
        <w:t xml:space="preserve">      9.</w:t>
      </w:r>
      <w:r>
        <w:rPr>
          <w:rFonts w:hint="eastAsia" w:ascii="仿宋_GB2312" w:hAnsi="宋体" w:cs="仿宋_GB2312"/>
          <w:color w:val="000000"/>
          <w:szCs w:val="32"/>
        </w:rPr>
        <w:t>物业服务情况业主评价表</w:t>
      </w:r>
    </w:p>
    <w:p w14:paraId="2C88B34D">
      <w:pPr>
        <w:snapToGrid w:val="0"/>
        <w:spacing w:line="600" w:lineRule="exact"/>
        <w:ind w:firstLine="640" w:firstLineChars="200"/>
        <w:rPr>
          <w:rFonts w:ascii="仿宋_GB2312" w:hAnsi="宋体"/>
          <w:color w:val="000000"/>
          <w:szCs w:val="32"/>
        </w:rPr>
      </w:pPr>
      <w:r>
        <w:rPr>
          <w:rFonts w:hint="eastAsia" w:ascii="仿宋_GB2312" w:hAnsi="宋体"/>
          <w:color w:val="000000"/>
          <w:szCs w:val="32"/>
        </w:rPr>
        <w:t xml:space="preserve">          </w:t>
      </w:r>
    </w:p>
    <w:p w14:paraId="24EEFAC1">
      <w:pPr>
        <w:snapToGrid w:val="0"/>
        <w:spacing w:line="600" w:lineRule="exact"/>
        <w:ind w:firstLine="640" w:firstLineChars="200"/>
        <w:rPr>
          <w:rFonts w:ascii="仿宋_GB2312" w:hAnsi="宋体" w:cs="仿宋_GB2312"/>
          <w:color w:val="000000"/>
          <w:szCs w:val="32"/>
        </w:rPr>
      </w:pPr>
    </w:p>
    <w:p w14:paraId="5EF55A56">
      <w:pPr>
        <w:snapToGrid w:val="0"/>
        <w:spacing w:line="600" w:lineRule="exact"/>
        <w:rPr>
          <w:rFonts w:ascii="仿宋_GB2312" w:hAnsi="宋体" w:cs="仿宋_GB2312"/>
          <w:color w:val="000000"/>
          <w:szCs w:val="32"/>
        </w:rPr>
      </w:pPr>
      <w:r>
        <w:rPr>
          <w:rFonts w:hint="eastAsia" w:ascii="仿宋_GB2312" w:hAnsi="宋体" w:cs="仿宋_GB2312"/>
          <w:color w:val="000000"/>
          <w:szCs w:val="32"/>
        </w:rPr>
        <w:t>甲方（盖章）：                    乙方（盖章）：</w:t>
      </w:r>
    </w:p>
    <w:p w14:paraId="76B9EBA9">
      <w:pPr>
        <w:snapToGrid w:val="0"/>
        <w:spacing w:line="600" w:lineRule="exact"/>
        <w:rPr>
          <w:rFonts w:ascii="仿宋_GB2312" w:hAnsi="宋体" w:cs="仿宋_GB2312"/>
          <w:color w:val="000000"/>
          <w:szCs w:val="32"/>
        </w:rPr>
      </w:pPr>
      <w:r>
        <w:rPr>
          <w:rFonts w:hint="eastAsia" w:ascii="仿宋_GB2312" w:hAnsi="宋体" w:cs="仿宋_GB2312"/>
          <w:color w:val="000000"/>
          <w:szCs w:val="32"/>
        </w:rPr>
        <w:t>授权代表：                       法定代表人：</w:t>
      </w:r>
    </w:p>
    <w:p w14:paraId="7DADFCC5">
      <w:pPr>
        <w:snapToGrid w:val="0"/>
        <w:spacing w:line="600" w:lineRule="exact"/>
        <w:ind w:firstLine="640" w:firstLineChars="200"/>
        <w:rPr>
          <w:rFonts w:ascii="仿宋_GB2312" w:hAnsi="宋体"/>
          <w:color w:val="000000"/>
          <w:szCs w:val="32"/>
        </w:rPr>
      </w:pPr>
    </w:p>
    <w:p w14:paraId="606885C5">
      <w:pPr>
        <w:snapToGrid w:val="0"/>
        <w:spacing w:line="600" w:lineRule="exact"/>
        <w:ind w:firstLine="640" w:firstLineChars="200"/>
        <w:rPr>
          <w:rFonts w:ascii="仿宋_GB2312" w:hAnsi="宋体"/>
          <w:color w:val="000000"/>
          <w:szCs w:val="32"/>
          <w:u w:val="single"/>
        </w:rPr>
      </w:pPr>
      <w:r>
        <w:rPr>
          <w:rFonts w:hint="eastAsia" w:ascii="仿宋_GB2312" w:hAnsi="宋体" w:cs="仿宋_GB2312"/>
          <w:color w:val="000000"/>
          <w:szCs w:val="32"/>
        </w:rPr>
        <w:t xml:space="preserve">                            </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年</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月</w:t>
      </w:r>
      <w:r>
        <w:rPr>
          <w:rFonts w:hint="eastAsia" w:ascii="仿宋_GB2312" w:hAnsi="宋体" w:cs="仿宋_GB2312"/>
          <w:color w:val="000000"/>
          <w:szCs w:val="32"/>
          <w:u w:val="single"/>
        </w:rPr>
        <w:t xml:space="preserve">    </w:t>
      </w:r>
      <w:r>
        <w:rPr>
          <w:rFonts w:hint="eastAsia" w:ascii="仿宋_GB2312" w:hAnsi="宋体" w:cs="仿宋_GB2312"/>
          <w:color w:val="000000"/>
          <w:szCs w:val="32"/>
        </w:rPr>
        <w:t>日</w:t>
      </w:r>
    </w:p>
    <w:p w14:paraId="0428570B">
      <w:pPr>
        <w:snapToGrid w:val="0"/>
        <w:jc w:val="left"/>
        <w:rPr>
          <w:rFonts w:ascii="黑体" w:hAnsi="黑体" w:eastAsia="黑体" w:cs="仿宋_GB2312"/>
          <w:szCs w:val="32"/>
        </w:rPr>
      </w:pPr>
    </w:p>
    <w:p w14:paraId="27FA1679">
      <w:pPr>
        <w:rPr>
          <w:rFonts w:ascii="黑体" w:hAnsi="黑体" w:eastAsia="黑体"/>
          <w:szCs w:val="32"/>
        </w:rPr>
      </w:pPr>
      <w:r>
        <w:rPr>
          <w:rFonts w:hint="eastAsia" w:ascii="黑体" w:hAnsi="黑体" w:eastAsia="黑体"/>
          <w:szCs w:val="32"/>
        </w:rPr>
        <w:br w:type="page"/>
      </w:r>
    </w:p>
    <w:p w14:paraId="74D580C8">
      <w:pPr>
        <w:spacing w:line="600" w:lineRule="exact"/>
        <w:rPr>
          <w:rFonts w:ascii="黑体" w:hAnsi="黑体" w:eastAsia="黑体"/>
          <w:szCs w:val="32"/>
        </w:rPr>
      </w:pPr>
      <w:r>
        <w:rPr>
          <w:rFonts w:hint="eastAsia" w:ascii="黑体" w:hAnsi="黑体" w:eastAsia="黑体"/>
          <w:szCs w:val="32"/>
        </w:rPr>
        <w:t>附件1</w:t>
      </w:r>
    </w:p>
    <w:p w14:paraId="587D4881">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规划平面图</w:t>
      </w:r>
    </w:p>
    <w:p w14:paraId="17ED7800">
      <w:pPr>
        <w:snapToGrid w:val="0"/>
        <w:rPr>
          <w:rFonts w:ascii="仿宋_GB2312" w:hAnsi="宋体"/>
          <w:sz w:val="28"/>
          <w:szCs w:val="28"/>
        </w:rPr>
      </w:pPr>
    </w:p>
    <w:p w14:paraId="55BAB593">
      <w:pPr>
        <w:snapToGrid w:val="0"/>
        <w:rPr>
          <w:rFonts w:ascii="仿宋_GB2312" w:hAnsi="宋体"/>
          <w:sz w:val="28"/>
          <w:szCs w:val="28"/>
        </w:rPr>
      </w:pPr>
    </w:p>
    <w:p w14:paraId="133A0107">
      <w:pPr>
        <w:snapToGrid w:val="0"/>
        <w:rPr>
          <w:rFonts w:ascii="仿宋_GB2312" w:hAnsi="宋体"/>
          <w:sz w:val="28"/>
          <w:szCs w:val="28"/>
        </w:rPr>
      </w:pPr>
    </w:p>
    <w:p w14:paraId="78035133">
      <w:pPr>
        <w:snapToGrid w:val="0"/>
        <w:rPr>
          <w:rFonts w:ascii="仿宋_GB2312" w:hAnsi="宋体"/>
          <w:sz w:val="28"/>
          <w:szCs w:val="28"/>
        </w:rPr>
      </w:pPr>
    </w:p>
    <w:p w14:paraId="02809038">
      <w:pPr>
        <w:snapToGrid w:val="0"/>
        <w:rPr>
          <w:rFonts w:ascii="仿宋_GB2312" w:hAnsi="宋体"/>
          <w:sz w:val="28"/>
          <w:szCs w:val="28"/>
        </w:rPr>
      </w:pPr>
    </w:p>
    <w:p w14:paraId="5B9D9691">
      <w:pPr>
        <w:snapToGrid w:val="0"/>
        <w:rPr>
          <w:rFonts w:ascii="仿宋_GB2312" w:hAnsi="宋体"/>
          <w:sz w:val="28"/>
          <w:szCs w:val="28"/>
        </w:rPr>
      </w:pPr>
    </w:p>
    <w:p w14:paraId="521ED319">
      <w:pPr>
        <w:snapToGrid w:val="0"/>
        <w:rPr>
          <w:rFonts w:ascii="仿宋_GB2312" w:hAnsi="宋体"/>
          <w:sz w:val="28"/>
          <w:szCs w:val="28"/>
        </w:rPr>
      </w:pPr>
    </w:p>
    <w:p w14:paraId="36651C84">
      <w:pPr>
        <w:snapToGrid w:val="0"/>
        <w:rPr>
          <w:rFonts w:ascii="仿宋_GB2312" w:hAnsi="宋体"/>
          <w:sz w:val="28"/>
          <w:szCs w:val="28"/>
        </w:rPr>
      </w:pPr>
    </w:p>
    <w:p w14:paraId="566479C2">
      <w:pPr>
        <w:snapToGrid w:val="0"/>
        <w:rPr>
          <w:rFonts w:ascii="仿宋_GB2312" w:hAnsi="宋体"/>
          <w:sz w:val="28"/>
          <w:szCs w:val="28"/>
        </w:rPr>
      </w:pPr>
    </w:p>
    <w:p w14:paraId="188FA931">
      <w:pPr>
        <w:snapToGrid w:val="0"/>
        <w:rPr>
          <w:rFonts w:ascii="仿宋_GB2312" w:hAnsi="宋体"/>
          <w:sz w:val="28"/>
          <w:szCs w:val="28"/>
        </w:rPr>
      </w:pPr>
    </w:p>
    <w:p w14:paraId="5B2A0609">
      <w:pPr>
        <w:snapToGrid w:val="0"/>
        <w:rPr>
          <w:rFonts w:ascii="仿宋_GB2312" w:hAnsi="宋体"/>
          <w:sz w:val="28"/>
          <w:szCs w:val="28"/>
        </w:rPr>
      </w:pPr>
    </w:p>
    <w:p w14:paraId="1F9B5B44">
      <w:pPr>
        <w:snapToGrid w:val="0"/>
        <w:rPr>
          <w:rFonts w:ascii="仿宋_GB2312" w:hAnsi="宋体"/>
          <w:sz w:val="28"/>
          <w:szCs w:val="28"/>
        </w:rPr>
      </w:pPr>
    </w:p>
    <w:p w14:paraId="60E622E1">
      <w:pPr>
        <w:snapToGrid w:val="0"/>
        <w:rPr>
          <w:rFonts w:ascii="仿宋_GB2312" w:hAnsi="宋体"/>
          <w:sz w:val="28"/>
          <w:szCs w:val="28"/>
        </w:rPr>
      </w:pPr>
    </w:p>
    <w:p w14:paraId="459E24ED">
      <w:pPr>
        <w:snapToGrid w:val="0"/>
        <w:rPr>
          <w:rFonts w:ascii="仿宋_GB2312" w:hAnsi="宋体"/>
          <w:sz w:val="28"/>
          <w:szCs w:val="28"/>
        </w:rPr>
      </w:pPr>
    </w:p>
    <w:p w14:paraId="0A791DC1">
      <w:pPr>
        <w:snapToGrid w:val="0"/>
        <w:rPr>
          <w:rFonts w:ascii="仿宋_GB2312" w:hAnsi="宋体"/>
          <w:sz w:val="28"/>
          <w:szCs w:val="28"/>
        </w:rPr>
      </w:pPr>
    </w:p>
    <w:p w14:paraId="403965D1">
      <w:pPr>
        <w:snapToGrid w:val="0"/>
        <w:rPr>
          <w:rFonts w:ascii="仿宋_GB2312" w:hAnsi="宋体"/>
          <w:sz w:val="28"/>
          <w:szCs w:val="28"/>
        </w:rPr>
      </w:pPr>
    </w:p>
    <w:p w14:paraId="665FE5C6">
      <w:pPr>
        <w:snapToGrid w:val="0"/>
        <w:rPr>
          <w:rFonts w:ascii="仿宋_GB2312" w:hAnsi="宋体"/>
          <w:sz w:val="28"/>
          <w:szCs w:val="28"/>
        </w:rPr>
      </w:pPr>
    </w:p>
    <w:p w14:paraId="567A8FDC">
      <w:pPr>
        <w:snapToGrid w:val="0"/>
        <w:rPr>
          <w:rFonts w:ascii="仿宋_GB2312" w:hAnsi="宋体"/>
          <w:sz w:val="28"/>
          <w:szCs w:val="28"/>
        </w:rPr>
      </w:pPr>
    </w:p>
    <w:p w14:paraId="69FBD8D6">
      <w:pPr>
        <w:snapToGrid w:val="0"/>
        <w:rPr>
          <w:rFonts w:ascii="仿宋_GB2312" w:hAnsi="宋体"/>
          <w:sz w:val="28"/>
          <w:szCs w:val="28"/>
        </w:rPr>
      </w:pPr>
    </w:p>
    <w:p w14:paraId="10E256A2">
      <w:pPr>
        <w:snapToGrid w:val="0"/>
        <w:rPr>
          <w:rFonts w:ascii="仿宋_GB2312" w:hAnsi="宋体"/>
          <w:sz w:val="28"/>
          <w:szCs w:val="28"/>
        </w:rPr>
      </w:pPr>
    </w:p>
    <w:p w14:paraId="2C63E16B">
      <w:pPr>
        <w:snapToGrid w:val="0"/>
        <w:rPr>
          <w:rFonts w:ascii="仿宋_GB2312" w:hAnsi="宋体"/>
          <w:sz w:val="28"/>
          <w:szCs w:val="28"/>
        </w:rPr>
      </w:pPr>
    </w:p>
    <w:p w14:paraId="0C81A951">
      <w:pPr>
        <w:snapToGrid w:val="0"/>
        <w:rPr>
          <w:rFonts w:ascii="仿宋_GB2312" w:hAnsi="宋体"/>
          <w:sz w:val="28"/>
          <w:szCs w:val="28"/>
        </w:rPr>
      </w:pPr>
    </w:p>
    <w:p w14:paraId="255E347C">
      <w:pPr>
        <w:snapToGrid w:val="0"/>
        <w:rPr>
          <w:rFonts w:ascii="仿宋_GB2312" w:hAnsi="宋体"/>
          <w:sz w:val="28"/>
          <w:szCs w:val="28"/>
        </w:rPr>
      </w:pPr>
    </w:p>
    <w:p w14:paraId="1B9F3262">
      <w:pPr>
        <w:snapToGrid w:val="0"/>
        <w:rPr>
          <w:rFonts w:ascii="仿宋_GB2312" w:hAnsi="宋体"/>
          <w:sz w:val="28"/>
          <w:szCs w:val="28"/>
        </w:rPr>
      </w:pPr>
    </w:p>
    <w:p w14:paraId="42CF4F20">
      <w:pPr>
        <w:snapToGrid w:val="0"/>
        <w:rPr>
          <w:rFonts w:ascii="仿宋_GB2312" w:hAnsi="宋体"/>
          <w:sz w:val="28"/>
          <w:szCs w:val="28"/>
        </w:rPr>
      </w:pPr>
    </w:p>
    <w:p w14:paraId="1F676372">
      <w:pPr>
        <w:snapToGrid w:val="0"/>
        <w:rPr>
          <w:rFonts w:ascii="仿宋_GB2312" w:hAnsi="宋体"/>
          <w:sz w:val="28"/>
          <w:szCs w:val="28"/>
        </w:rPr>
      </w:pPr>
    </w:p>
    <w:p w14:paraId="540C40C3">
      <w:pPr>
        <w:snapToGrid w:val="0"/>
        <w:rPr>
          <w:rFonts w:ascii="仿宋_GB2312" w:hAnsi="宋体"/>
          <w:sz w:val="28"/>
          <w:szCs w:val="28"/>
        </w:rPr>
      </w:pPr>
    </w:p>
    <w:p w14:paraId="3898FA3B">
      <w:pPr>
        <w:snapToGrid w:val="0"/>
        <w:rPr>
          <w:rFonts w:ascii="仿宋_GB2312" w:hAnsi="宋体"/>
          <w:sz w:val="28"/>
          <w:szCs w:val="28"/>
        </w:rPr>
      </w:pPr>
    </w:p>
    <w:p w14:paraId="12E61A37">
      <w:pPr>
        <w:snapToGrid w:val="0"/>
        <w:rPr>
          <w:rFonts w:ascii="仿宋_GB2312" w:hAnsi="宋体"/>
          <w:sz w:val="28"/>
          <w:szCs w:val="28"/>
        </w:rPr>
      </w:pPr>
    </w:p>
    <w:p w14:paraId="2A9C0E72">
      <w:pPr>
        <w:snapToGrid w:val="0"/>
        <w:rPr>
          <w:rFonts w:ascii="仿宋_GB2312" w:hAnsi="宋体"/>
          <w:sz w:val="28"/>
          <w:szCs w:val="28"/>
        </w:rPr>
      </w:pPr>
    </w:p>
    <w:p w14:paraId="5A04C8B8">
      <w:pPr>
        <w:snapToGrid w:val="0"/>
        <w:rPr>
          <w:rFonts w:ascii="仿宋_GB2312" w:hAnsi="宋体"/>
          <w:sz w:val="28"/>
          <w:szCs w:val="28"/>
        </w:rPr>
      </w:pPr>
    </w:p>
    <w:p w14:paraId="59F1A4B4">
      <w:pPr>
        <w:spacing w:line="600" w:lineRule="exact"/>
        <w:rPr>
          <w:rFonts w:ascii="黑体" w:hAnsi="黑体" w:eastAsia="黑体"/>
          <w:szCs w:val="32"/>
        </w:rPr>
      </w:pPr>
      <w:r>
        <w:rPr>
          <w:rFonts w:hint="eastAsia" w:ascii="黑体" w:hAnsi="黑体" w:eastAsia="黑体"/>
          <w:szCs w:val="32"/>
        </w:rPr>
        <w:t>附件2</w:t>
      </w:r>
    </w:p>
    <w:p w14:paraId="2267A314">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物业服务区域平面图</w:t>
      </w:r>
    </w:p>
    <w:p w14:paraId="2F4187B6">
      <w:pPr>
        <w:spacing w:line="400" w:lineRule="exact"/>
        <w:rPr>
          <w:rFonts w:ascii="黑体" w:hAnsi="黑体" w:eastAsia="黑体"/>
          <w:szCs w:val="32"/>
        </w:rPr>
      </w:pPr>
    </w:p>
    <w:p w14:paraId="41CEF8F2">
      <w:pPr>
        <w:spacing w:line="400" w:lineRule="exact"/>
        <w:rPr>
          <w:rFonts w:ascii="黑体" w:hAnsi="黑体" w:eastAsia="黑体"/>
          <w:szCs w:val="32"/>
        </w:rPr>
      </w:pPr>
    </w:p>
    <w:p w14:paraId="2D3CEED8">
      <w:pPr>
        <w:spacing w:line="400" w:lineRule="exact"/>
        <w:rPr>
          <w:rFonts w:ascii="黑体" w:hAnsi="黑体" w:eastAsia="黑体"/>
          <w:szCs w:val="32"/>
        </w:rPr>
      </w:pPr>
    </w:p>
    <w:p w14:paraId="65E2485F">
      <w:pPr>
        <w:spacing w:line="400" w:lineRule="exact"/>
        <w:rPr>
          <w:rFonts w:ascii="黑体" w:hAnsi="黑体" w:eastAsia="黑体"/>
          <w:szCs w:val="32"/>
        </w:rPr>
      </w:pPr>
    </w:p>
    <w:p w14:paraId="2382F560">
      <w:pPr>
        <w:spacing w:line="400" w:lineRule="exact"/>
        <w:rPr>
          <w:rFonts w:ascii="黑体" w:hAnsi="黑体" w:eastAsia="黑体"/>
          <w:szCs w:val="32"/>
        </w:rPr>
      </w:pPr>
    </w:p>
    <w:p w14:paraId="1157AB94">
      <w:pPr>
        <w:spacing w:line="400" w:lineRule="exact"/>
        <w:rPr>
          <w:rFonts w:ascii="黑体" w:hAnsi="黑体" w:eastAsia="黑体"/>
          <w:szCs w:val="32"/>
        </w:rPr>
      </w:pPr>
    </w:p>
    <w:p w14:paraId="219D2479">
      <w:pPr>
        <w:spacing w:line="400" w:lineRule="exact"/>
        <w:rPr>
          <w:rFonts w:ascii="黑体" w:hAnsi="黑体" w:eastAsia="黑体"/>
          <w:szCs w:val="32"/>
        </w:rPr>
      </w:pPr>
    </w:p>
    <w:p w14:paraId="315D8940">
      <w:pPr>
        <w:spacing w:line="400" w:lineRule="exact"/>
        <w:rPr>
          <w:rFonts w:ascii="黑体" w:hAnsi="黑体" w:eastAsia="黑体"/>
          <w:szCs w:val="32"/>
        </w:rPr>
      </w:pPr>
    </w:p>
    <w:p w14:paraId="2B1C0836">
      <w:pPr>
        <w:spacing w:line="400" w:lineRule="exact"/>
        <w:rPr>
          <w:rFonts w:ascii="黑体" w:hAnsi="黑体" w:eastAsia="黑体"/>
          <w:szCs w:val="32"/>
        </w:rPr>
      </w:pPr>
    </w:p>
    <w:p w14:paraId="757A75C7">
      <w:pPr>
        <w:spacing w:line="400" w:lineRule="exact"/>
        <w:rPr>
          <w:rFonts w:ascii="黑体" w:hAnsi="黑体" w:eastAsia="黑体"/>
          <w:szCs w:val="32"/>
        </w:rPr>
      </w:pPr>
    </w:p>
    <w:p w14:paraId="69767440">
      <w:pPr>
        <w:spacing w:line="400" w:lineRule="exact"/>
        <w:rPr>
          <w:rFonts w:ascii="黑体" w:hAnsi="黑体" w:eastAsia="黑体"/>
          <w:szCs w:val="32"/>
        </w:rPr>
      </w:pPr>
    </w:p>
    <w:p w14:paraId="262BD7AE">
      <w:pPr>
        <w:spacing w:line="400" w:lineRule="exact"/>
        <w:rPr>
          <w:rFonts w:ascii="黑体" w:hAnsi="黑体" w:eastAsia="黑体"/>
          <w:szCs w:val="32"/>
        </w:rPr>
      </w:pPr>
    </w:p>
    <w:p w14:paraId="535D32F9">
      <w:pPr>
        <w:spacing w:line="400" w:lineRule="exact"/>
        <w:rPr>
          <w:rFonts w:ascii="黑体" w:hAnsi="黑体" w:eastAsia="黑体"/>
          <w:szCs w:val="32"/>
        </w:rPr>
      </w:pPr>
    </w:p>
    <w:p w14:paraId="779020C8">
      <w:pPr>
        <w:spacing w:line="400" w:lineRule="exact"/>
        <w:rPr>
          <w:rFonts w:ascii="黑体" w:hAnsi="黑体" w:eastAsia="黑体"/>
          <w:szCs w:val="32"/>
        </w:rPr>
      </w:pPr>
    </w:p>
    <w:p w14:paraId="0B25AE23">
      <w:pPr>
        <w:spacing w:line="400" w:lineRule="exact"/>
        <w:rPr>
          <w:rFonts w:ascii="黑体" w:hAnsi="黑体" w:eastAsia="黑体"/>
          <w:szCs w:val="32"/>
        </w:rPr>
      </w:pPr>
    </w:p>
    <w:p w14:paraId="54239CB2">
      <w:pPr>
        <w:spacing w:line="400" w:lineRule="exact"/>
        <w:rPr>
          <w:rFonts w:ascii="黑体" w:hAnsi="黑体" w:eastAsia="黑体"/>
          <w:szCs w:val="32"/>
        </w:rPr>
      </w:pPr>
    </w:p>
    <w:p w14:paraId="6AE8D4B9">
      <w:pPr>
        <w:spacing w:line="400" w:lineRule="exact"/>
        <w:rPr>
          <w:rFonts w:ascii="黑体" w:hAnsi="黑体" w:eastAsia="黑体"/>
          <w:szCs w:val="32"/>
        </w:rPr>
      </w:pPr>
    </w:p>
    <w:p w14:paraId="11AAEE53">
      <w:pPr>
        <w:spacing w:line="400" w:lineRule="exact"/>
        <w:rPr>
          <w:rFonts w:ascii="黑体" w:hAnsi="黑体" w:eastAsia="黑体"/>
          <w:szCs w:val="32"/>
        </w:rPr>
      </w:pPr>
    </w:p>
    <w:p w14:paraId="4D6309AE">
      <w:pPr>
        <w:spacing w:line="400" w:lineRule="exact"/>
        <w:rPr>
          <w:rFonts w:ascii="黑体" w:hAnsi="黑体" w:eastAsia="黑体"/>
          <w:szCs w:val="32"/>
        </w:rPr>
      </w:pPr>
    </w:p>
    <w:p w14:paraId="3F4F5382">
      <w:pPr>
        <w:spacing w:line="400" w:lineRule="exact"/>
        <w:rPr>
          <w:rFonts w:ascii="黑体" w:hAnsi="黑体" w:eastAsia="黑体"/>
          <w:szCs w:val="32"/>
        </w:rPr>
      </w:pPr>
    </w:p>
    <w:p w14:paraId="223441B6">
      <w:pPr>
        <w:spacing w:line="400" w:lineRule="exact"/>
        <w:rPr>
          <w:rFonts w:ascii="黑体" w:hAnsi="黑体" w:eastAsia="黑体"/>
          <w:szCs w:val="32"/>
        </w:rPr>
      </w:pPr>
    </w:p>
    <w:p w14:paraId="2DC3D77F">
      <w:pPr>
        <w:spacing w:line="400" w:lineRule="exact"/>
        <w:rPr>
          <w:rFonts w:ascii="黑体" w:hAnsi="黑体" w:eastAsia="黑体"/>
          <w:szCs w:val="32"/>
        </w:rPr>
      </w:pPr>
    </w:p>
    <w:p w14:paraId="0EF10BA6">
      <w:pPr>
        <w:spacing w:line="400" w:lineRule="exact"/>
        <w:rPr>
          <w:rFonts w:ascii="黑体" w:hAnsi="黑体" w:eastAsia="黑体"/>
          <w:szCs w:val="32"/>
        </w:rPr>
      </w:pPr>
    </w:p>
    <w:p w14:paraId="0D500BEA">
      <w:pPr>
        <w:spacing w:line="400" w:lineRule="exact"/>
        <w:rPr>
          <w:rFonts w:ascii="黑体" w:hAnsi="黑体" w:eastAsia="黑体"/>
          <w:szCs w:val="32"/>
        </w:rPr>
      </w:pPr>
    </w:p>
    <w:p w14:paraId="371ABDD7">
      <w:pPr>
        <w:spacing w:line="400" w:lineRule="exact"/>
        <w:rPr>
          <w:rFonts w:ascii="黑体" w:hAnsi="黑体" w:eastAsia="黑体"/>
          <w:szCs w:val="32"/>
        </w:rPr>
      </w:pPr>
    </w:p>
    <w:p w14:paraId="1FD8B9E5">
      <w:pPr>
        <w:spacing w:line="400" w:lineRule="exact"/>
        <w:rPr>
          <w:rFonts w:ascii="黑体" w:hAnsi="黑体" w:eastAsia="黑体"/>
          <w:szCs w:val="32"/>
        </w:rPr>
      </w:pPr>
    </w:p>
    <w:p w14:paraId="351F6E55">
      <w:pPr>
        <w:spacing w:line="400" w:lineRule="exact"/>
        <w:rPr>
          <w:rFonts w:ascii="黑体" w:hAnsi="黑体" w:eastAsia="黑体"/>
          <w:szCs w:val="32"/>
        </w:rPr>
      </w:pPr>
    </w:p>
    <w:p w14:paraId="1120D6E7">
      <w:pPr>
        <w:spacing w:line="400" w:lineRule="exact"/>
        <w:rPr>
          <w:rFonts w:ascii="黑体" w:hAnsi="黑体" w:eastAsia="黑体"/>
          <w:szCs w:val="32"/>
        </w:rPr>
      </w:pPr>
    </w:p>
    <w:p w14:paraId="7E6B7318">
      <w:pPr>
        <w:spacing w:line="600" w:lineRule="exact"/>
        <w:rPr>
          <w:rFonts w:ascii="黑体" w:hAnsi="黑体" w:eastAsia="黑体"/>
          <w:szCs w:val="32"/>
        </w:rPr>
      </w:pPr>
      <w:r>
        <w:rPr>
          <w:rFonts w:hint="eastAsia" w:ascii="黑体" w:hAnsi="黑体" w:eastAsia="黑体"/>
          <w:szCs w:val="32"/>
        </w:rPr>
        <w:t>附件3</w:t>
      </w:r>
    </w:p>
    <w:p w14:paraId="54789B0C">
      <w:pPr>
        <w:spacing w:line="680" w:lineRule="exact"/>
        <w:jc w:val="center"/>
        <w:rPr>
          <w:rFonts w:ascii="黑体" w:hAnsi="黑体" w:eastAsia="黑体"/>
          <w:b/>
          <w:szCs w:val="32"/>
        </w:rPr>
      </w:pPr>
      <w:r>
        <w:rPr>
          <w:rFonts w:hint="eastAsia" w:ascii="方正小标宋_GBK" w:hAnsi="方正小标宋_GBK" w:eastAsia="方正小标宋_GBK" w:cs="方正小标宋_GBK"/>
          <w:sz w:val="44"/>
          <w:szCs w:val="44"/>
        </w:rPr>
        <w:t>物业构成明细</w:t>
      </w:r>
    </w:p>
    <w:tbl>
      <w:tblPr>
        <w:tblStyle w:val="18"/>
        <w:tblW w:w="9146"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941"/>
        <w:gridCol w:w="2385"/>
        <w:gridCol w:w="2268"/>
        <w:gridCol w:w="2552"/>
      </w:tblGrid>
      <w:tr w14:paraId="27BCFE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4" w:hRule="exact"/>
        </w:trPr>
        <w:tc>
          <w:tcPr>
            <w:tcW w:w="1941" w:type="dxa"/>
            <w:vAlign w:val="center"/>
          </w:tcPr>
          <w:p w14:paraId="05BAF542">
            <w:pPr>
              <w:spacing w:line="360" w:lineRule="exact"/>
              <w:jc w:val="center"/>
              <w:rPr>
                <w:rFonts w:ascii="仿宋_GB2312"/>
                <w:sz w:val="30"/>
                <w:szCs w:val="30"/>
              </w:rPr>
            </w:pPr>
            <w:r>
              <w:rPr>
                <w:rFonts w:hint="eastAsia" w:ascii="仿宋_GB2312"/>
                <w:sz w:val="30"/>
                <w:szCs w:val="30"/>
              </w:rPr>
              <w:t>类  型</w:t>
            </w:r>
          </w:p>
        </w:tc>
        <w:tc>
          <w:tcPr>
            <w:tcW w:w="2385" w:type="dxa"/>
            <w:vAlign w:val="center"/>
          </w:tcPr>
          <w:p w14:paraId="6648CD7D">
            <w:pPr>
              <w:spacing w:line="360" w:lineRule="exact"/>
              <w:jc w:val="center"/>
              <w:rPr>
                <w:rFonts w:ascii="仿宋_GB2312"/>
                <w:sz w:val="30"/>
                <w:szCs w:val="30"/>
              </w:rPr>
            </w:pPr>
            <w:r>
              <w:rPr>
                <w:rFonts w:hint="eastAsia" w:ascii="仿宋_GB2312"/>
                <w:sz w:val="30"/>
                <w:szCs w:val="30"/>
              </w:rPr>
              <w:t>幢  数</w:t>
            </w:r>
          </w:p>
        </w:tc>
        <w:tc>
          <w:tcPr>
            <w:tcW w:w="2268" w:type="dxa"/>
            <w:vAlign w:val="center"/>
          </w:tcPr>
          <w:p w14:paraId="49CC7F3B">
            <w:pPr>
              <w:spacing w:line="360" w:lineRule="exact"/>
              <w:jc w:val="center"/>
              <w:rPr>
                <w:rFonts w:ascii="仿宋_GB2312"/>
                <w:sz w:val="30"/>
                <w:szCs w:val="30"/>
              </w:rPr>
            </w:pPr>
            <w:r>
              <w:rPr>
                <w:rFonts w:hint="eastAsia" w:ascii="仿宋_GB2312"/>
                <w:sz w:val="30"/>
                <w:szCs w:val="30"/>
              </w:rPr>
              <w:t>套（单元）数</w:t>
            </w:r>
          </w:p>
        </w:tc>
        <w:tc>
          <w:tcPr>
            <w:tcW w:w="2552" w:type="dxa"/>
            <w:vAlign w:val="center"/>
          </w:tcPr>
          <w:p w14:paraId="7DD1F500">
            <w:pPr>
              <w:spacing w:line="360" w:lineRule="exact"/>
              <w:jc w:val="center"/>
              <w:rPr>
                <w:rFonts w:ascii="仿宋_GB2312"/>
                <w:sz w:val="30"/>
                <w:szCs w:val="30"/>
              </w:rPr>
            </w:pPr>
            <w:r>
              <w:rPr>
                <w:rFonts w:hint="eastAsia" w:ascii="仿宋_GB2312"/>
                <w:sz w:val="30"/>
                <w:szCs w:val="30"/>
              </w:rPr>
              <w:t>建筑面积</w:t>
            </w:r>
          </w:p>
          <w:p w14:paraId="2D46813A">
            <w:pPr>
              <w:spacing w:line="360" w:lineRule="exact"/>
              <w:jc w:val="center"/>
              <w:rPr>
                <w:rFonts w:ascii="仿宋_GB2312"/>
                <w:sz w:val="30"/>
                <w:szCs w:val="30"/>
              </w:rPr>
            </w:pPr>
            <w:r>
              <w:rPr>
                <w:rFonts w:hint="eastAsia" w:ascii="仿宋_GB2312"/>
                <w:sz w:val="30"/>
                <w:szCs w:val="30"/>
              </w:rPr>
              <w:t>（平方米）</w:t>
            </w:r>
          </w:p>
        </w:tc>
      </w:tr>
      <w:tr w14:paraId="2E9110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416DA7C6">
            <w:pPr>
              <w:spacing w:line="360" w:lineRule="exact"/>
              <w:jc w:val="center"/>
              <w:rPr>
                <w:rFonts w:ascii="仿宋_GB2312"/>
                <w:sz w:val="30"/>
                <w:szCs w:val="30"/>
              </w:rPr>
            </w:pPr>
            <w:r>
              <w:rPr>
                <w:rFonts w:hint="eastAsia" w:ascii="仿宋_GB2312"/>
                <w:sz w:val="30"/>
                <w:szCs w:val="30"/>
              </w:rPr>
              <w:t>高层住宅</w:t>
            </w:r>
          </w:p>
        </w:tc>
        <w:tc>
          <w:tcPr>
            <w:tcW w:w="2385" w:type="dxa"/>
            <w:vAlign w:val="center"/>
          </w:tcPr>
          <w:p w14:paraId="7DBB09B5">
            <w:pPr>
              <w:spacing w:line="360" w:lineRule="exact"/>
              <w:jc w:val="center"/>
              <w:rPr>
                <w:rFonts w:ascii="仿宋_GB2312"/>
                <w:sz w:val="30"/>
                <w:szCs w:val="30"/>
              </w:rPr>
            </w:pPr>
          </w:p>
        </w:tc>
        <w:tc>
          <w:tcPr>
            <w:tcW w:w="2268" w:type="dxa"/>
            <w:vAlign w:val="center"/>
          </w:tcPr>
          <w:p w14:paraId="0F84B452">
            <w:pPr>
              <w:spacing w:line="360" w:lineRule="exact"/>
              <w:jc w:val="center"/>
              <w:rPr>
                <w:rFonts w:ascii="仿宋_GB2312"/>
                <w:sz w:val="30"/>
                <w:szCs w:val="30"/>
              </w:rPr>
            </w:pPr>
          </w:p>
        </w:tc>
        <w:tc>
          <w:tcPr>
            <w:tcW w:w="2552" w:type="dxa"/>
            <w:vAlign w:val="center"/>
          </w:tcPr>
          <w:p w14:paraId="6CF019B1">
            <w:pPr>
              <w:spacing w:line="360" w:lineRule="exact"/>
              <w:jc w:val="center"/>
              <w:rPr>
                <w:rFonts w:ascii="仿宋_GB2312"/>
                <w:sz w:val="30"/>
                <w:szCs w:val="30"/>
              </w:rPr>
            </w:pPr>
          </w:p>
        </w:tc>
      </w:tr>
      <w:tr w14:paraId="78834E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495769C1">
            <w:pPr>
              <w:spacing w:line="360" w:lineRule="exact"/>
              <w:jc w:val="center"/>
              <w:rPr>
                <w:rFonts w:ascii="仿宋_GB2312"/>
                <w:sz w:val="30"/>
                <w:szCs w:val="30"/>
              </w:rPr>
            </w:pPr>
            <w:r>
              <w:rPr>
                <w:rFonts w:hint="eastAsia" w:ascii="仿宋_GB2312"/>
                <w:sz w:val="30"/>
                <w:szCs w:val="30"/>
              </w:rPr>
              <w:t>多层住宅</w:t>
            </w:r>
          </w:p>
        </w:tc>
        <w:tc>
          <w:tcPr>
            <w:tcW w:w="2385" w:type="dxa"/>
            <w:vAlign w:val="center"/>
          </w:tcPr>
          <w:p w14:paraId="11185A8D">
            <w:pPr>
              <w:spacing w:line="360" w:lineRule="exact"/>
              <w:jc w:val="center"/>
              <w:rPr>
                <w:rFonts w:ascii="仿宋_GB2312"/>
                <w:sz w:val="30"/>
                <w:szCs w:val="30"/>
              </w:rPr>
            </w:pPr>
          </w:p>
        </w:tc>
        <w:tc>
          <w:tcPr>
            <w:tcW w:w="2268" w:type="dxa"/>
            <w:vAlign w:val="center"/>
          </w:tcPr>
          <w:p w14:paraId="352ED001">
            <w:pPr>
              <w:spacing w:line="360" w:lineRule="exact"/>
              <w:jc w:val="center"/>
              <w:rPr>
                <w:rFonts w:ascii="仿宋_GB2312"/>
                <w:sz w:val="30"/>
                <w:szCs w:val="30"/>
              </w:rPr>
            </w:pPr>
          </w:p>
        </w:tc>
        <w:tc>
          <w:tcPr>
            <w:tcW w:w="2552" w:type="dxa"/>
            <w:vAlign w:val="center"/>
          </w:tcPr>
          <w:p w14:paraId="2E0C5910">
            <w:pPr>
              <w:spacing w:line="360" w:lineRule="exact"/>
              <w:jc w:val="center"/>
              <w:rPr>
                <w:rFonts w:ascii="仿宋_GB2312"/>
                <w:sz w:val="30"/>
                <w:szCs w:val="30"/>
              </w:rPr>
            </w:pPr>
          </w:p>
        </w:tc>
      </w:tr>
      <w:tr w14:paraId="21842D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56879635">
            <w:pPr>
              <w:spacing w:line="360" w:lineRule="exact"/>
              <w:jc w:val="center"/>
              <w:rPr>
                <w:rFonts w:ascii="仿宋_GB2312"/>
                <w:sz w:val="30"/>
                <w:szCs w:val="30"/>
              </w:rPr>
            </w:pPr>
            <w:r>
              <w:rPr>
                <w:rFonts w:hint="eastAsia" w:ascii="仿宋_GB2312"/>
                <w:sz w:val="30"/>
                <w:szCs w:val="30"/>
              </w:rPr>
              <w:t>别  墅</w:t>
            </w:r>
          </w:p>
        </w:tc>
        <w:tc>
          <w:tcPr>
            <w:tcW w:w="2385" w:type="dxa"/>
            <w:vAlign w:val="center"/>
          </w:tcPr>
          <w:p w14:paraId="646B90F3">
            <w:pPr>
              <w:spacing w:line="360" w:lineRule="exact"/>
              <w:jc w:val="center"/>
              <w:rPr>
                <w:rFonts w:ascii="仿宋_GB2312"/>
                <w:sz w:val="30"/>
                <w:szCs w:val="30"/>
              </w:rPr>
            </w:pPr>
          </w:p>
        </w:tc>
        <w:tc>
          <w:tcPr>
            <w:tcW w:w="2268" w:type="dxa"/>
            <w:vAlign w:val="center"/>
          </w:tcPr>
          <w:p w14:paraId="0E1C82A7">
            <w:pPr>
              <w:spacing w:line="360" w:lineRule="exact"/>
              <w:jc w:val="center"/>
              <w:rPr>
                <w:rFonts w:ascii="仿宋_GB2312"/>
                <w:sz w:val="30"/>
                <w:szCs w:val="30"/>
              </w:rPr>
            </w:pPr>
          </w:p>
        </w:tc>
        <w:tc>
          <w:tcPr>
            <w:tcW w:w="2552" w:type="dxa"/>
            <w:vAlign w:val="center"/>
          </w:tcPr>
          <w:p w14:paraId="51748738">
            <w:pPr>
              <w:spacing w:line="360" w:lineRule="exact"/>
              <w:jc w:val="center"/>
              <w:rPr>
                <w:rFonts w:ascii="仿宋_GB2312"/>
                <w:sz w:val="30"/>
                <w:szCs w:val="30"/>
              </w:rPr>
            </w:pPr>
          </w:p>
        </w:tc>
      </w:tr>
      <w:tr w14:paraId="084A77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7F081AF5">
            <w:pPr>
              <w:spacing w:line="360" w:lineRule="exact"/>
              <w:jc w:val="center"/>
              <w:rPr>
                <w:rFonts w:ascii="仿宋_GB2312"/>
                <w:sz w:val="30"/>
                <w:szCs w:val="30"/>
              </w:rPr>
            </w:pPr>
            <w:r>
              <w:rPr>
                <w:rFonts w:hint="eastAsia" w:ascii="仿宋_GB2312"/>
                <w:sz w:val="30"/>
                <w:szCs w:val="30"/>
              </w:rPr>
              <w:t>商业用房</w:t>
            </w:r>
          </w:p>
        </w:tc>
        <w:tc>
          <w:tcPr>
            <w:tcW w:w="2385" w:type="dxa"/>
            <w:vAlign w:val="center"/>
          </w:tcPr>
          <w:p w14:paraId="07CA5446">
            <w:pPr>
              <w:spacing w:line="360" w:lineRule="exact"/>
              <w:jc w:val="center"/>
              <w:rPr>
                <w:rFonts w:ascii="仿宋_GB2312"/>
                <w:sz w:val="30"/>
                <w:szCs w:val="30"/>
              </w:rPr>
            </w:pPr>
          </w:p>
        </w:tc>
        <w:tc>
          <w:tcPr>
            <w:tcW w:w="2268" w:type="dxa"/>
            <w:vAlign w:val="center"/>
          </w:tcPr>
          <w:p w14:paraId="0853D3D9">
            <w:pPr>
              <w:spacing w:line="360" w:lineRule="exact"/>
              <w:jc w:val="center"/>
              <w:rPr>
                <w:rFonts w:ascii="仿宋_GB2312"/>
                <w:sz w:val="30"/>
                <w:szCs w:val="30"/>
              </w:rPr>
            </w:pPr>
          </w:p>
        </w:tc>
        <w:tc>
          <w:tcPr>
            <w:tcW w:w="2552" w:type="dxa"/>
            <w:vAlign w:val="center"/>
          </w:tcPr>
          <w:p w14:paraId="5C5A388E">
            <w:pPr>
              <w:spacing w:line="360" w:lineRule="exact"/>
              <w:jc w:val="center"/>
              <w:rPr>
                <w:rFonts w:ascii="仿宋_GB2312"/>
                <w:sz w:val="30"/>
                <w:szCs w:val="30"/>
              </w:rPr>
            </w:pPr>
          </w:p>
        </w:tc>
      </w:tr>
      <w:tr w14:paraId="1EDC70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3AD49336">
            <w:pPr>
              <w:spacing w:line="360" w:lineRule="exact"/>
              <w:jc w:val="center"/>
              <w:rPr>
                <w:rFonts w:ascii="仿宋_GB2312"/>
                <w:sz w:val="30"/>
                <w:szCs w:val="30"/>
              </w:rPr>
            </w:pPr>
            <w:r>
              <w:rPr>
                <w:rFonts w:hint="eastAsia" w:ascii="仿宋_GB2312"/>
                <w:sz w:val="30"/>
                <w:szCs w:val="30"/>
              </w:rPr>
              <w:t>工业用房</w:t>
            </w:r>
          </w:p>
        </w:tc>
        <w:tc>
          <w:tcPr>
            <w:tcW w:w="2385" w:type="dxa"/>
            <w:vAlign w:val="center"/>
          </w:tcPr>
          <w:p w14:paraId="7D2EACAA">
            <w:pPr>
              <w:spacing w:line="360" w:lineRule="exact"/>
              <w:jc w:val="center"/>
              <w:rPr>
                <w:rFonts w:ascii="仿宋_GB2312"/>
                <w:sz w:val="30"/>
                <w:szCs w:val="30"/>
              </w:rPr>
            </w:pPr>
          </w:p>
        </w:tc>
        <w:tc>
          <w:tcPr>
            <w:tcW w:w="2268" w:type="dxa"/>
            <w:vAlign w:val="center"/>
          </w:tcPr>
          <w:p w14:paraId="6AD5B03A">
            <w:pPr>
              <w:spacing w:line="360" w:lineRule="exact"/>
              <w:jc w:val="center"/>
              <w:rPr>
                <w:rFonts w:ascii="仿宋_GB2312"/>
                <w:sz w:val="30"/>
                <w:szCs w:val="30"/>
              </w:rPr>
            </w:pPr>
          </w:p>
        </w:tc>
        <w:tc>
          <w:tcPr>
            <w:tcW w:w="2552" w:type="dxa"/>
            <w:vAlign w:val="center"/>
          </w:tcPr>
          <w:p w14:paraId="052713C6">
            <w:pPr>
              <w:spacing w:line="360" w:lineRule="exact"/>
              <w:jc w:val="center"/>
              <w:rPr>
                <w:rFonts w:ascii="仿宋_GB2312"/>
                <w:sz w:val="30"/>
                <w:szCs w:val="30"/>
              </w:rPr>
            </w:pPr>
          </w:p>
        </w:tc>
      </w:tr>
      <w:tr w14:paraId="45F57D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6D7E20D2">
            <w:pPr>
              <w:spacing w:line="360" w:lineRule="exact"/>
              <w:jc w:val="center"/>
              <w:rPr>
                <w:rFonts w:ascii="仿宋_GB2312"/>
                <w:sz w:val="30"/>
                <w:szCs w:val="30"/>
              </w:rPr>
            </w:pPr>
            <w:r>
              <w:rPr>
                <w:rFonts w:hint="eastAsia" w:ascii="仿宋_GB2312"/>
                <w:sz w:val="30"/>
                <w:szCs w:val="30"/>
              </w:rPr>
              <w:t>办公楼</w:t>
            </w:r>
          </w:p>
        </w:tc>
        <w:tc>
          <w:tcPr>
            <w:tcW w:w="2385" w:type="dxa"/>
            <w:vAlign w:val="center"/>
          </w:tcPr>
          <w:p w14:paraId="3037B597">
            <w:pPr>
              <w:spacing w:line="360" w:lineRule="exact"/>
              <w:jc w:val="center"/>
              <w:rPr>
                <w:rFonts w:ascii="仿宋_GB2312"/>
                <w:sz w:val="30"/>
                <w:szCs w:val="30"/>
              </w:rPr>
            </w:pPr>
          </w:p>
        </w:tc>
        <w:tc>
          <w:tcPr>
            <w:tcW w:w="2268" w:type="dxa"/>
            <w:vAlign w:val="center"/>
          </w:tcPr>
          <w:p w14:paraId="276AE105">
            <w:pPr>
              <w:spacing w:line="360" w:lineRule="exact"/>
              <w:jc w:val="center"/>
              <w:rPr>
                <w:rFonts w:ascii="仿宋_GB2312"/>
                <w:sz w:val="30"/>
                <w:szCs w:val="30"/>
              </w:rPr>
            </w:pPr>
          </w:p>
        </w:tc>
        <w:tc>
          <w:tcPr>
            <w:tcW w:w="2552" w:type="dxa"/>
            <w:vAlign w:val="center"/>
          </w:tcPr>
          <w:p w14:paraId="682D639D">
            <w:pPr>
              <w:spacing w:line="360" w:lineRule="exact"/>
              <w:jc w:val="center"/>
              <w:rPr>
                <w:rFonts w:ascii="仿宋_GB2312"/>
                <w:sz w:val="30"/>
                <w:szCs w:val="30"/>
              </w:rPr>
            </w:pPr>
          </w:p>
        </w:tc>
      </w:tr>
      <w:tr w14:paraId="094E89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062BA619">
            <w:pPr>
              <w:spacing w:line="360" w:lineRule="exact"/>
              <w:jc w:val="center"/>
              <w:rPr>
                <w:rFonts w:ascii="仿宋_GB2312"/>
                <w:sz w:val="30"/>
                <w:szCs w:val="30"/>
              </w:rPr>
            </w:pPr>
            <w:r>
              <w:rPr>
                <w:rFonts w:hint="eastAsia" w:ascii="仿宋_GB2312"/>
                <w:sz w:val="30"/>
                <w:szCs w:val="30"/>
              </w:rPr>
              <w:t>车  库</w:t>
            </w:r>
          </w:p>
        </w:tc>
        <w:tc>
          <w:tcPr>
            <w:tcW w:w="2385" w:type="dxa"/>
            <w:vAlign w:val="center"/>
          </w:tcPr>
          <w:p w14:paraId="520371F2">
            <w:pPr>
              <w:spacing w:line="360" w:lineRule="exact"/>
              <w:jc w:val="center"/>
              <w:rPr>
                <w:rFonts w:ascii="仿宋_GB2312"/>
                <w:sz w:val="30"/>
                <w:szCs w:val="30"/>
              </w:rPr>
            </w:pPr>
          </w:p>
        </w:tc>
        <w:tc>
          <w:tcPr>
            <w:tcW w:w="2268" w:type="dxa"/>
            <w:vAlign w:val="center"/>
          </w:tcPr>
          <w:p w14:paraId="508A6183">
            <w:pPr>
              <w:spacing w:line="360" w:lineRule="exact"/>
              <w:jc w:val="center"/>
              <w:rPr>
                <w:rFonts w:ascii="仿宋_GB2312"/>
                <w:sz w:val="30"/>
                <w:szCs w:val="30"/>
              </w:rPr>
            </w:pPr>
          </w:p>
        </w:tc>
        <w:tc>
          <w:tcPr>
            <w:tcW w:w="2552" w:type="dxa"/>
            <w:vAlign w:val="center"/>
          </w:tcPr>
          <w:p w14:paraId="0B53EE9D">
            <w:pPr>
              <w:spacing w:line="360" w:lineRule="exact"/>
              <w:jc w:val="center"/>
              <w:rPr>
                <w:rFonts w:ascii="仿宋_GB2312"/>
                <w:sz w:val="30"/>
                <w:szCs w:val="30"/>
              </w:rPr>
            </w:pPr>
          </w:p>
        </w:tc>
      </w:tr>
      <w:tr w14:paraId="7E5441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45500A54">
            <w:pPr>
              <w:spacing w:line="360" w:lineRule="exact"/>
              <w:jc w:val="center"/>
              <w:rPr>
                <w:rFonts w:ascii="仿宋_GB2312"/>
                <w:sz w:val="30"/>
                <w:szCs w:val="30"/>
              </w:rPr>
            </w:pPr>
            <w:r>
              <w:rPr>
                <w:rFonts w:hint="eastAsia" w:ascii="仿宋_GB2312"/>
                <w:sz w:val="30"/>
                <w:szCs w:val="30"/>
              </w:rPr>
              <w:t>会  所</w:t>
            </w:r>
          </w:p>
        </w:tc>
        <w:tc>
          <w:tcPr>
            <w:tcW w:w="2385" w:type="dxa"/>
            <w:vAlign w:val="center"/>
          </w:tcPr>
          <w:p w14:paraId="28A38E89">
            <w:pPr>
              <w:spacing w:line="360" w:lineRule="exact"/>
              <w:jc w:val="center"/>
              <w:rPr>
                <w:rFonts w:ascii="仿宋_GB2312"/>
                <w:sz w:val="30"/>
                <w:szCs w:val="30"/>
              </w:rPr>
            </w:pPr>
          </w:p>
        </w:tc>
        <w:tc>
          <w:tcPr>
            <w:tcW w:w="2268" w:type="dxa"/>
            <w:vAlign w:val="center"/>
          </w:tcPr>
          <w:p w14:paraId="730B1CA6">
            <w:pPr>
              <w:spacing w:line="360" w:lineRule="exact"/>
              <w:jc w:val="center"/>
              <w:rPr>
                <w:rFonts w:ascii="仿宋_GB2312"/>
                <w:sz w:val="30"/>
                <w:szCs w:val="30"/>
              </w:rPr>
            </w:pPr>
          </w:p>
        </w:tc>
        <w:tc>
          <w:tcPr>
            <w:tcW w:w="2552" w:type="dxa"/>
            <w:vAlign w:val="center"/>
          </w:tcPr>
          <w:p w14:paraId="5D0A1751">
            <w:pPr>
              <w:spacing w:line="360" w:lineRule="exact"/>
              <w:jc w:val="center"/>
              <w:rPr>
                <w:rFonts w:ascii="仿宋_GB2312"/>
                <w:sz w:val="30"/>
                <w:szCs w:val="30"/>
              </w:rPr>
            </w:pPr>
          </w:p>
        </w:tc>
      </w:tr>
      <w:tr w14:paraId="47457E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52BDF017">
            <w:pPr>
              <w:spacing w:line="360" w:lineRule="exact"/>
              <w:jc w:val="center"/>
              <w:rPr>
                <w:rFonts w:ascii="仿宋_GB2312"/>
                <w:sz w:val="30"/>
                <w:szCs w:val="30"/>
              </w:rPr>
            </w:pPr>
            <w:r>
              <w:rPr>
                <w:rFonts w:hint="eastAsia" w:ascii="仿宋_GB2312"/>
                <w:sz w:val="30"/>
                <w:szCs w:val="30"/>
              </w:rPr>
              <w:t>学  校</w:t>
            </w:r>
          </w:p>
        </w:tc>
        <w:tc>
          <w:tcPr>
            <w:tcW w:w="2385" w:type="dxa"/>
            <w:vAlign w:val="center"/>
          </w:tcPr>
          <w:p w14:paraId="424BC564">
            <w:pPr>
              <w:spacing w:line="360" w:lineRule="exact"/>
              <w:jc w:val="center"/>
              <w:rPr>
                <w:rFonts w:ascii="仿宋_GB2312"/>
                <w:sz w:val="30"/>
                <w:szCs w:val="30"/>
              </w:rPr>
            </w:pPr>
          </w:p>
        </w:tc>
        <w:tc>
          <w:tcPr>
            <w:tcW w:w="2268" w:type="dxa"/>
            <w:vAlign w:val="center"/>
          </w:tcPr>
          <w:p w14:paraId="31734FD8">
            <w:pPr>
              <w:spacing w:line="360" w:lineRule="exact"/>
              <w:jc w:val="center"/>
              <w:rPr>
                <w:rFonts w:ascii="仿宋_GB2312"/>
                <w:sz w:val="30"/>
                <w:szCs w:val="30"/>
              </w:rPr>
            </w:pPr>
          </w:p>
        </w:tc>
        <w:tc>
          <w:tcPr>
            <w:tcW w:w="2552" w:type="dxa"/>
            <w:vAlign w:val="center"/>
          </w:tcPr>
          <w:p w14:paraId="0BC57F80">
            <w:pPr>
              <w:spacing w:line="360" w:lineRule="exact"/>
              <w:jc w:val="center"/>
              <w:rPr>
                <w:rFonts w:ascii="仿宋_GB2312"/>
                <w:sz w:val="30"/>
                <w:szCs w:val="30"/>
              </w:rPr>
            </w:pPr>
          </w:p>
        </w:tc>
      </w:tr>
      <w:tr w14:paraId="54E08D1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3DF17B7B">
            <w:pPr>
              <w:spacing w:line="360" w:lineRule="exact"/>
              <w:jc w:val="center"/>
              <w:rPr>
                <w:rFonts w:ascii="仿宋_GB2312"/>
                <w:sz w:val="30"/>
                <w:szCs w:val="30"/>
              </w:rPr>
            </w:pPr>
            <w:r>
              <w:rPr>
                <w:rFonts w:hint="eastAsia" w:ascii="仿宋_GB2312"/>
                <w:sz w:val="30"/>
                <w:szCs w:val="30"/>
              </w:rPr>
              <w:t>幼儿园</w:t>
            </w:r>
          </w:p>
        </w:tc>
        <w:tc>
          <w:tcPr>
            <w:tcW w:w="2385" w:type="dxa"/>
            <w:vAlign w:val="center"/>
          </w:tcPr>
          <w:p w14:paraId="03E38E58">
            <w:pPr>
              <w:spacing w:line="360" w:lineRule="exact"/>
              <w:jc w:val="center"/>
              <w:rPr>
                <w:rFonts w:ascii="仿宋_GB2312"/>
                <w:sz w:val="30"/>
                <w:szCs w:val="30"/>
              </w:rPr>
            </w:pPr>
          </w:p>
        </w:tc>
        <w:tc>
          <w:tcPr>
            <w:tcW w:w="2268" w:type="dxa"/>
            <w:vAlign w:val="center"/>
          </w:tcPr>
          <w:p w14:paraId="73C40127">
            <w:pPr>
              <w:spacing w:line="360" w:lineRule="exact"/>
              <w:jc w:val="center"/>
              <w:rPr>
                <w:rFonts w:ascii="仿宋_GB2312"/>
                <w:sz w:val="30"/>
                <w:szCs w:val="30"/>
              </w:rPr>
            </w:pPr>
          </w:p>
        </w:tc>
        <w:tc>
          <w:tcPr>
            <w:tcW w:w="2552" w:type="dxa"/>
            <w:vAlign w:val="center"/>
          </w:tcPr>
          <w:p w14:paraId="364B462F">
            <w:pPr>
              <w:spacing w:line="360" w:lineRule="exact"/>
              <w:jc w:val="center"/>
              <w:rPr>
                <w:rFonts w:ascii="仿宋_GB2312"/>
                <w:sz w:val="30"/>
                <w:szCs w:val="30"/>
              </w:rPr>
            </w:pPr>
          </w:p>
        </w:tc>
      </w:tr>
      <w:tr w14:paraId="6E21A5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5680362F">
            <w:pPr>
              <w:spacing w:line="360" w:lineRule="exact"/>
              <w:jc w:val="center"/>
              <w:rPr>
                <w:rFonts w:ascii="仿宋_GB2312"/>
                <w:sz w:val="30"/>
                <w:szCs w:val="30"/>
              </w:rPr>
            </w:pPr>
            <w:r>
              <w:rPr>
                <w:rFonts w:hint="eastAsia" w:ascii="仿宋_GB2312"/>
                <w:sz w:val="30"/>
                <w:szCs w:val="30"/>
                <w:u w:val="single"/>
              </w:rPr>
              <w:t xml:space="preserve">     </w:t>
            </w:r>
            <w:r>
              <w:rPr>
                <w:rFonts w:hint="eastAsia" w:ascii="仿宋_GB2312"/>
                <w:sz w:val="30"/>
                <w:szCs w:val="30"/>
              </w:rPr>
              <w:t>用房</w:t>
            </w:r>
          </w:p>
        </w:tc>
        <w:tc>
          <w:tcPr>
            <w:tcW w:w="2385" w:type="dxa"/>
            <w:vAlign w:val="center"/>
          </w:tcPr>
          <w:p w14:paraId="6FAE7EA8">
            <w:pPr>
              <w:spacing w:line="360" w:lineRule="exact"/>
              <w:jc w:val="center"/>
              <w:rPr>
                <w:rFonts w:ascii="仿宋_GB2312"/>
                <w:sz w:val="30"/>
                <w:szCs w:val="30"/>
              </w:rPr>
            </w:pPr>
          </w:p>
        </w:tc>
        <w:tc>
          <w:tcPr>
            <w:tcW w:w="2268" w:type="dxa"/>
            <w:vAlign w:val="center"/>
          </w:tcPr>
          <w:p w14:paraId="626F758F">
            <w:pPr>
              <w:spacing w:line="360" w:lineRule="exact"/>
              <w:jc w:val="center"/>
              <w:rPr>
                <w:rFonts w:ascii="仿宋_GB2312"/>
                <w:sz w:val="30"/>
                <w:szCs w:val="30"/>
              </w:rPr>
            </w:pPr>
          </w:p>
        </w:tc>
        <w:tc>
          <w:tcPr>
            <w:tcW w:w="2552" w:type="dxa"/>
            <w:vAlign w:val="center"/>
          </w:tcPr>
          <w:p w14:paraId="761FD7D5">
            <w:pPr>
              <w:spacing w:line="360" w:lineRule="exact"/>
              <w:jc w:val="center"/>
              <w:rPr>
                <w:rFonts w:ascii="仿宋_GB2312"/>
                <w:sz w:val="30"/>
                <w:szCs w:val="30"/>
              </w:rPr>
            </w:pPr>
          </w:p>
        </w:tc>
      </w:tr>
      <w:tr w14:paraId="527729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4764578E">
            <w:pPr>
              <w:spacing w:line="360" w:lineRule="exact"/>
              <w:jc w:val="center"/>
              <w:rPr>
                <w:rFonts w:ascii="仿宋_GB2312"/>
                <w:sz w:val="30"/>
                <w:szCs w:val="30"/>
                <w:u w:val="single"/>
              </w:rPr>
            </w:pPr>
          </w:p>
        </w:tc>
        <w:tc>
          <w:tcPr>
            <w:tcW w:w="2385" w:type="dxa"/>
            <w:vAlign w:val="center"/>
          </w:tcPr>
          <w:p w14:paraId="26CCE34F">
            <w:pPr>
              <w:spacing w:line="360" w:lineRule="exact"/>
              <w:jc w:val="center"/>
              <w:rPr>
                <w:rFonts w:ascii="仿宋_GB2312"/>
                <w:sz w:val="30"/>
                <w:szCs w:val="30"/>
              </w:rPr>
            </w:pPr>
          </w:p>
        </w:tc>
        <w:tc>
          <w:tcPr>
            <w:tcW w:w="2268" w:type="dxa"/>
            <w:vAlign w:val="center"/>
          </w:tcPr>
          <w:p w14:paraId="406F42F2">
            <w:pPr>
              <w:spacing w:line="360" w:lineRule="exact"/>
              <w:jc w:val="center"/>
              <w:rPr>
                <w:rFonts w:ascii="仿宋_GB2312"/>
                <w:sz w:val="30"/>
                <w:szCs w:val="30"/>
              </w:rPr>
            </w:pPr>
          </w:p>
        </w:tc>
        <w:tc>
          <w:tcPr>
            <w:tcW w:w="2552" w:type="dxa"/>
            <w:vAlign w:val="center"/>
          </w:tcPr>
          <w:p w14:paraId="31E1B402">
            <w:pPr>
              <w:spacing w:line="360" w:lineRule="exact"/>
              <w:jc w:val="center"/>
              <w:rPr>
                <w:rFonts w:ascii="仿宋_GB2312"/>
                <w:sz w:val="30"/>
                <w:szCs w:val="30"/>
              </w:rPr>
            </w:pPr>
          </w:p>
        </w:tc>
      </w:tr>
      <w:tr w14:paraId="6157311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6FA671E1">
            <w:pPr>
              <w:spacing w:line="360" w:lineRule="exact"/>
              <w:jc w:val="center"/>
              <w:rPr>
                <w:rFonts w:ascii="仿宋_GB2312"/>
                <w:sz w:val="30"/>
                <w:szCs w:val="30"/>
              </w:rPr>
            </w:pPr>
            <w:r>
              <w:rPr>
                <w:rFonts w:hint="eastAsia" w:ascii="仿宋_GB2312"/>
                <w:sz w:val="30"/>
                <w:szCs w:val="30"/>
              </w:rPr>
              <w:t>合  计</w:t>
            </w:r>
          </w:p>
        </w:tc>
        <w:tc>
          <w:tcPr>
            <w:tcW w:w="2385" w:type="dxa"/>
            <w:vAlign w:val="center"/>
          </w:tcPr>
          <w:p w14:paraId="077975F1">
            <w:pPr>
              <w:spacing w:line="360" w:lineRule="exact"/>
              <w:jc w:val="center"/>
              <w:rPr>
                <w:rFonts w:ascii="仿宋_GB2312"/>
                <w:sz w:val="30"/>
                <w:szCs w:val="30"/>
              </w:rPr>
            </w:pPr>
          </w:p>
        </w:tc>
        <w:tc>
          <w:tcPr>
            <w:tcW w:w="2268" w:type="dxa"/>
            <w:vAlign w:val="center"/>
          </w:tcPr>
          <w:p w14:paraId="2042CE12">
            <w:pPr>
              <w:spacing w:line="360" w:lineRule="exact"/>
              <w:jc w:val="center"/>
              <w:rPr>
                <w:rFonts w:ascii="仿宋_GB2312"/>
                <w:sz w:val="30"/>
                <w:szCs w:val="30"/>
              </w:rPr>
            </w:pPr>
          </w:p>
        </w:tc>
        <w:tc>
          <w:tcPr>
            <w:tcW w:w="2552" w:type="dxa"/>
            <w:vAlign w:val="center"/>
          </w:tcPr>
          <w:p w14:paraId="3DED5D6D">
            <w:pPr>
              <w:spacing w:line="360" w:lineRule="exact"/>
              <w:jc w:val="center"/>
              <w:rPr>
                <w:rFonts w:ascii="仿宋_GB2312"/>
                <w:sz w:val="30"/>
                <w:szCs w:val="30"/>
              </w:rPr>
            </w:pPr>
          </w:p>
        </w:tc>
      </w:tr>
      <w:tr w14:paraId="489345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17" w:hRule="exact"/>
        </w:trPr>
        <w:tc>
          <w:tcPr>
            <w:tcW w:w="1941" w:type="dxa"/>
            <w:vAlign w:val="center"/>
          </w:tcPr>
          <w:p w14:paraId="45FE51F0">
            <w:pPr>
              <w:spacing w:line="360" w:lineRule="exact"/>
              <w:jc w:val="center"/>
              <w:rPr>
                <w:rFonts w:ascii="仿宋_GB2312"/>
                <w:sz w:val="30"/>
                <w:szCs w:val="30"/>
              </w:rPr>
            </w:pPr>
            <w:r>
              <w:rPr>
                <w:rFonts w:hint="eastAsia" w:ascii="仿宋_GB2312"/>
                <w:sz w:val="30"/>
                <w:szCs w:val="30"/>
              </w:rPr>
              <w:t>备  注</w:t>
            </w:r>
          </w:p>
        </w:tc>
        <w:tc>
          <w:tcPr>
            <w:tcW w:w="2385" w:type="dxa"/>
            <w:vAlign w:val="center"/>
          </w:tcPr>
          <w:p w14:paraId="2962D161">
            <w:pPr>
              <w:spacing w:line="360" w:lineRule="exact"/>
              <w:jc w:val="center"/>
              <w:rPr>
                <w:rFonts w:ascii="仿宋_GB2312"/>
                <w:sz w:val="30"/>
                <w:szCs w:val="30"/>
              </w:rPr>
            </w:pPr>
          </w:p>
        </w:tc>
        <w:tc>
          <w:tcPr>
            <w:tcW w:w="2268" w:type="dxa"/>
            <w:vAlign w:val="center"/>
          </w:tcPr>
          <w:p w14:paraId="3BC86A27">
            <w:pPr>
              <w:spacing w:line="360" w:lineRule="exact"/>
              <w:jc w:val="center"/>
              <w:rPr>
                <w:rFonts w:ascii="仿宋_GB2312"/>
                <w:sz w:val="30"/>
                <w:szCs w:val="30"/>
              </w:rPr>
            </w:pPr>
          </w:p>
        </w:tc>
        <w:tc>
          <w:tcPr>
            <w:tcW w:w="2552" w:type="dxa"/>
            <w:vAlign w:val="center"/>
          </w:tcPr>
          <w:p w14:paraId="5DC1D046">
            <w:pPr>
              <w:spacing w:line="360" w:lineRule="exact"/>
              <w:jc w:val="center"/>
              <w:rPr>
                <w:rFonts w:ascii="仿宋_GB2312"/>
                <w:sz w:val="30"/>
                <w:szCs w:val="30"/>
              </w:rPr>
            </w:pPr>
          </w:p>
        </w:tc>
      </w:tr>
    </w:tbl>
    <w:p w14:paraId="6A8712B6">
      <w:pPr>
        <w:spacing w:line="600" w:lineRule="exact"/>
        <w:rPr>
          <w:rFonts w:ascii="黑体" w:hAnsi="黑体" w:eastAsia="黑体"/>
          <w:szCs w:val="32"/>
        </w:rPr>
      </w:pPr>
      <w:r>
        <w:rPr>
          <w:rFonts w:hint="eastAsia" w:ascii="黑体" w:hAnsi="黑体" w:eastAsia="黑体"/>
          <w:szCs w:val="32"/>
        </w:rPr>
        <w:t>附件4</w:t>
      </w:r>
    </w:p>
    <w:p w14:paraId="64C346C1">
      <w:pPr>
        <w:spacing w:line="680" w:lineRule="exact"/>
        <w:jc w:val="center"/>
        <w:rPr>
          <w:rFonts w:ascii="方正小标宋_GBK" w:hAnsi="方正小标宋_GBK" w:eastAsia="方正小标宋_GBK" w:cs="方正小标宋_GBK"/>
          <w:sz w:val="44"/>
          <w:szCs w:val="44"/>
        </w:rPr>
      </w:pPr>
      <w:bookmarkStart w:id="20" w:name="OLE_LINK35"/>
      <w:bookmarkStart w:id="21" w:name="OLE_LINK34"/>
      <w:bookmarkStart w:id="22" w:name="OLE_LINK32"/>
      <w:bookmarkStart w:id="23" w:name="OLE_LINK31"/>
      <w:r>
        <w:rPr>
          <w:rFonts w:hint="eastAsia" w:ascii="方正小标宋_GBK" w:hAnsi="方正小标宋_GBK" w:eastAsia="方正小标宋_GBK" w:cs="方正小标宋_GBK"/>
          <w:sz w:val="44"/>
          <w:szCs w:val="44"/>
        </w:rPr>
        <w:t>物业共有部分</w:t>
      </w:r>
      <w:bookmarkEnd w:id="20"/>
      <w:bookmarkEnd w:id="21"/>
      <w:r>
        <w:rPr>
          <w:rFonts w:hint="eastAsia" w:ascii="方正小标宋_GBK" w:hAnsi="方正小标宋_GBK" w:eastAsia="方正小标宋_GBK" w:cs="方正小标宋_GBK"/>
          <w:sz w:val="44"/>
          <w:szCs w:val="44"/>
        </w:rPr>
        <w:t>明细</w:t>
      </w:r>
      <w:bookmarkEnd w:id="22"/>
      <w:bookmarkEnd w:id="23"/>
    </w:p>
    <w:p w14:paraId="6E3B7BA4">
      <w:pPr>
        <w:snapToGrid w:val="0"/>
        <w:spacing w:line="600" w:lineRule="exact"/>
        <w:ind w:firstLine="640" w:firstLineChars="200"/>
        <w:rPr>
          <w:rFonts w:ascii="仿宋_GB2312" w:hAnsi="宋体" w:cs="仿宋_GB2312"/>
          <w:bCs/>
          <w:color w:val="000000"/>
          <w:szCs w:val="32"/>
        </w:rPr>
      </w:pPr>
    </w:p>
    <w:p w14:paraId="783A7E8A">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1.房屋承重结构；</w:t>
      </w:r>
    </w:p>
    <w:p w14:paraId="766AC5A9">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2.房屋主体结构；</w:t>
      </w:r>
    </w:p>
    <w:p w14:paraId="395A341D">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3.公共门厅；</w:t>
      </w:r>
    </w:p>
    <w:p w14:paraId="0F8B0D4F">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4.公共走廊；</w:t>
      </w:r>
    </w:p>
    <w:p w14:paraId="3F6062A8">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5.公共楼梯间；</w:t>
      </w:r>
    </w:p>
    <w:p w14:paraId="6E613D6C">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6.内天井;</w:t>
      </w:r>
    </w:p>
    <w:p w14:paraId="69DB9356">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7.户外墙面；</w:t>
      </w:r>
    </w:p>
    <w:p w14:paraId="4A8C5B5F">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8.屋面；</w:t>
      </w:r>
    </w:p>
    <w:p w14:paraId="4A111904">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9.传达室；</w:t>
      </w:r>
    </w:p>
    <w:p w14:paraId="399B6586">
      <w:pPr>
        <w:snapToGrid w:val="0"/>
        <w:spacing w:line="600" w:lineRule="exact"/>
        <w:ind w:firstLine="640" w:firstLineChars="200"/>
        <w:rPr>
          <w:rFonts w:ascii="仿宋_GB2312" w:hAnsi="宋体" w:cs="仿宋_GB2312"/>
          <w:bCs/>
          <w:color w:val="000000"/>
          <w:szCs w:val="32"/>
        </w:rPr>
      </w:pPr>
      <w:r>
        <w:rPr>
          <w:rFonts w:hint="eastAsia" w:ascii="仿宋_GB2312" w:hAnsi="宋体" w:cs="仿宋_GB2312"/>
          <w:bCs/>
          <w:color w:val="000000"/>
          <w:szCs w:val="32"/>
        </w:rPr>
        <w:t>10.</w:t>
      </w:r>
      <w:r>
        <w:rPr>
          <w:rFonts w:hint="eastAsia" w:ascii="仿宋_GB2312" w:hAnsi="宋体" w:cs="仿宋_GB2312"/>
          <w:bCs/>
          <w:color w:val="000000"/>
          <w:szCs w:val="32"/>
          <w:u w:val="single"/>
        </w:rPr>
        <w:t xml:space="preserve">               </w:t>
      </w:r>
      <w:r>
        <w:rPr>
          <w:rFonts w:hint="eastAsia" w:ascii="仿宋_GB2312" w:hAnsi="宋体" w:cs="仿宋_GB2312"/>
          <w:bCs/>
          <w:color w:val="000000"/>
          <w:szCs w:val="32"/>
        </w:rPr>
        <w:t>；</w:t>
      </w:r>
    </w:p>
    <w:p w14:paraId="521508E4">
      <w:pPr>
        <w:snapToGrid w:val="0"/>
        <w:spacing w:line="600" w:lineRule="exact"/>
        <w:ind w:firstLine="640" w:firstLineChars="200"/>
        <w:rPr>
          <w:rFonts w:ascii="黑体" w:hAnsi="黑体" w:eastAsia="黑体"/>
          <w:color w:val="000000"/>
          <w:szCs w:val="32"/>
        </w:rPr>
      </w:pPr>
      <w:r>
        <w:rPr>
          <w:rFonts w:hint="eastAsia" w:ascii="仿宋_GB2312" w:hAnsi="宋体" w:cs="仿宋_GB2312"/>
          <w:bCs/>
          <w:color w:val="000000"/>
          <w:szCs w:val="32"/>
        </w:rPr>
        <w:t>11.</w:t>
      </w:r>
      <w:r>
        <w:rPr>
          <w:rFonts w:hint="eastAsia" w:ascii="仿宋_GB2312" w:hAnsi="宋体" w:cs="仿宋_GB2312"/>
          <w:bCs/>
          <w:color w:val="000000"/>
          <w:szCs w:val="32"/>
          <w:u w:val="single"/>
        </w:rPr>
        <w:t xml:space="preserve">               </w:t>
      </w:r>
      <w:r>
        <w:rPr>
          <w:rFonts w:hint="eastAsia" w:ascii="仿宋_GB2312" w:hAnsi="宋体" w:cs="仿宋_GB2312"/>
          <w:bCs/>
          <w:color w:val="000000"/>
          <w:szCs w:val="32"/>
        </w:rPr>
        <w:t>。</w:t>
      </w:r>
    </w:p>
    <w:p w14:paraId="4ED54F6E">
      <w:pPr>
        <w:rPr>
          <w:rFonts w:ascii="黑体" w:hAnsi="黑体" w:eastAsia="黑体"/>
          <w:szCs w:val="32"/>
        </w:rPr>
      </w:pPr>
    </w:p>
    <w:p w14:paraId="325E19A3">
      <w:pPr>
        <w:pStyle w:val="2"/>
        <w:ind w:left="640"/>
      </w:pPr>
    </w:p>
    <w:p w14:paraId="544CBF15"/>
    <w:p w14:paraId="4DCB732D">
      <w:pPr>
        <w:pStyle w:val="2"/>
        <w:ind w:left="640"/>
      </w:pPr>
    </w:p>
    <w:p w14:paraId="2594D6B5"/>
    <w:p w14:paraId="7DEA41EB">
      <w:pPr>
        <w:pStyle w:val="2"/>
        <w:ind w:left="640"/>
      </w:pPr>
    </w:p>
    <w:p w14:paraId="42B17DF3"/>
    <w:p w14:paraId="630A0454">
      <w:pPr>
        <w:rPr>
          <w:rFonts w:ascii="黑体" w:hAnsi="黑体" w:eastAsia="黑体"/>
          <w:szCs w:val="32"/>
        </w:rPr>
      </w:pPr>
      <w:r>
        <w:rPr>
          <w:rFonts w:hint="eastAsia" w:ascii="黑体" w:hAnsi="黑体" w:eastAsia="黑体"/>
          <w:szCs w:val="32"/>
        </w:rPr>
        <w:br w:type="page"/>
      </w:r>
    </w:p>
    <w:p w14:paraId="3FB2FFA7">
      <w:pPr>
        <w:spacing w:line="600" w:lineRule="exact"/>
        <w:rPr>
          <w:rFonts w:ascii="黑体" w:hAnsi="黑体" w:eastAsia="黑体"/>
          <w:szCs w:val="32"/>
        </w:rPr>
      </w:pPr>
      <w:r>
        <w:rPr>
          <w:rFonts w:hint="eastAsia" w:ascii="黑体" w:hAnsi="黑体" w:eastAsia="黑体"/>
          <w:szCs w:val="32"/>
        </w:rPr>
        <w:t>附件5</w:t>
      </w:r>
    </w:p>
    <w:p w14:paraId="6B545F09">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物业公用设施明细</w:t>
      </w:r>
    </w:p>
    <w:p w14:paraId="2B9E2217">
      <w:pPr>
        <w:spacing w:line="600" w:lineRule="exact"/>
        <w:ind w:firstLine="640" w:firstLineChars="200"/>
        <w:rPr>
          <w:rFonts w:ascii="仿宋_GB2312"/>
          <w:color w:val="000000"/>
          <w:szCs w:val="32"/>
        </w:rPr>
      </w:pPr>
    </w:p>
    <w:p w14:paraId="40DB9821">
      <w:pPr>
        <w:spacing w:line="600" w:lineRule="exact"/>
        <w:ind w:firstLine="640" w:firstLineChars="200"/>
        <w:rPr>
          <w:rFonts w:ascii="仿宋_GB2312"/>
          <w:color w:val="000000"/>
          <w:szCs w:val="32"/>
        </w:rPr>
      </w:pPr>
      <w:r>
        <w:rPr>
          <w:rFonts w:hint="eastAsia" w:ascii="仿宋_GB2312"/>
          <w:color w:val="000000"/>
          <w:szCs w:val="32"/>
        </w:rPr>
        <w:t>1.绿地</w:t>
      </w:r>
      <w:r>
        <w:rPr>
          <w:rFonts w:hint="eastAsia" w:ascii="仿宋_GB2312"/>
          <w:color w:val="000000"/>
          <w:szCs w:val="32"/>
          <w:u w:val="single"/>
        </w:rPr>
        <w:t xml:space="preserve">          </w:t>
      </w:r>
      <w:r>
        <w:rPr>
          <w:rFonts w:hint="eastAsia" w:ascii="仿宋_GB2312"/>
          <w:color w:val="000000"/>
          <w:szCs w:val="32"/>
        </w:rPr>
        <w:t>平方米；</w:t>
      </w:r>
    </w:p>
    <w:p w14:paraId="299B1667">
      <w:pPr>
        <w:spacing w:line="600" w:lineRule="exact"/>
        <w:ind w:firstLine="640" w:firstLineChars="200"/>
        <w:rPr>
          <w:rFonts w:ascii="仿宋_GB2312"/>
          <w:color w:val="000000"/>
          <w:szCs w:val="32"/>
        </w:rPr>
      </w:pPr>
      <w:r>
        <w:rPr>
          <w:rFonts w:hint="eastAsia" w:ascii="仿宋_GB2312"/>
          <w:color w:val="000000"/>
          <w:szCs w:val="32"/>
        </w:rPr>
        <w:t>2.道路</w:t>
      </w:r>
      <w:r>
        <w:rPr>
          <w:rFonts w:hint="eastAsia" w:ascii="仿宋_GB2312"/>
          <w:color w:val="000000"/>
          <w:szCs w:val="32"/>
          <w:u w:val="single"/>
        </w:rPr>
        <w:t xml:space="preserve">          </w:t>
      </w:r>
      <w:r>
        <w:rPr>
          <w:rFonts w:hint="eastAsia" w:ascii="仿宋_GB2312"/>
          <w:color w:val="000000"/>
          <w:szCs w:val="32"/>
        </w:rPr>
        <w:t>平方米；</w:t>
      </w:r>
    </w:p>
    <w:p w14:paraId="32C92882">
      <w:pPr>
        <w:spacing w:line="600" w:lineRule="exact"/>
        <w:ind w:firstLine="640" w:firstLineChars="200"/>
        <w:rPr>
          <w:rFonts w:ascii="仿宋_GB2312"/>
          <w:color w:val="000000"/>
          <w:szCs w:val="32"/>
        </w:rPr>
      </w:pPr>
      <w:r>
        <w:rPr>
          <w:rFonts w:hint="eastAsia" w:ascii="仿宋_GB2312"/>
          <w:color w:val="000000"/>
          <w:szCs w:val="32"/>
        </w:rPr>
        <w:t>3.化粪池</w:t>
      </w:r>
      <w:r>
        <w:rPr>
          <w:rFonts w:hint="eastAsia" w:ascii="仿宋_GB2312"/>
          <w:color w:val="000000"/>
          <w:szCs w:val="32"/>
          <w:u w:val="single"/>
        </w:rPr>
        <w:t xml:space="preserve">      </w:t>
      </w:r>
      <w:r>
        <w:rPr>
          <w:rFonts w:hint="eastAsia" w:ascii="仿宋_GB2312"/>
          <w:color w:val="000000"/>
          <w:szCs w:val="32"/>
        </w:rPr>
        <w:t>个；</w:t>
      </w:r>
    </w:p>
    <w:p w14:paraId="617192B0">
      <w:pPr>
        <w:spacing w:line="600" w:lineRule="exact"/>
        <w:ind w:firstLine="640" w:firstLineChars="200"/>
        <w:rPr>
          <w:rFonts w:ascii="仿宋_GB2312"/>
          <w:color w:val="000000"/>
          <w:szCs w:val="32"/>
        </w:rPr>
      </w:pPr>
      <w:r>
        <w:rPr>
          <w:rFonts w:hint="eastAsia" w:ascii="仿宋_GB2312"/>
          <w:color w:val="000000"/>
          <w:szCs w:val="32"/>
        </w:rPr>
        <w:t>4.污水井</w:t>
      </w:r>
      <w:r>
        <w:rPr>
          <w:rFonts w:hint="eastAsia" w:ascii="仿宋_GB2312"/>
          <w:color w:val="000000"/>
          <w:szCs w:val="32"/>
          <w:u w:val="single"/>
        </w:rPr>
        <w:t xml:space="preserve">      </w:t>
      </w:r>
      <w:r>
        <w:rPr>
          <w:rFonts w:hint="eastAsia" w:ascii="仿宋_GB2312"/>
          <w:color w:val="000000"/>
          <w:szCs w:val="32"/>
        </w:rPr>
        <w:t>个，污水管道</w:t>
      </w:r>
      <w:r>
        <w:rPr>
          <w:rFonts w:hint="eastAsia" w:ascii="仿宋_GB2312"/>
          <w:color w:val="000000"/>
          <w:szCs w:val="32"/>
          <w:u w:val="single"/>
        </w:rPr>
        <w:t xml:space="preserve">      </w:t>
      </w:r>
      <w:r>
        <w:rPr>
          <w:rFonts w:hint="eastAsia" w:ascii="仿宋_GB2312"/>
          <w:color w:val="000000"/>
          <w:szCs w:val="32"/>
        </w:rPr>
        <w:t>米；</w:t>
      </w:r>
    </w:p>
    <w:p w14:paraId="6DB1902A">
      <w:pPr>
        <w:spacing w:line="600" w:lineRule="exact"/>
        <w:ind w:firstLine="640" w:firstLineChars="200"/>
        <w:rPr>
          <w:rFonts w:ascii="仿宋_GB2312"/>
          <w:color w:val="000000"/>
          <w:szCs w:val="32"/>
        </w:rPr>
      </w:pPr>
      <w:r>
        <w:rPr>
          <w:rFonts w:hint="eastAsia" w:ascii="仿宋_GB2312"/>
          <w:color w:val="000000"/>
          <w:szCs w:val="32"/>
        </w:rPr>
        <w:t>5.雨水井</w:t>
      </w:r>
      <w:r>
        <w:rPr>
          <w:rFonts w:hint="eastAsia" w:ascii="仿宋_GB2312"/>
          <w:color w:val="000000"/>
          <w:szCs w:val="32"/>
          <w:u w:val="single"/>
        </w:rPr>
        <w:t xml:space="preserve">      </w:t>
      </w:r>
      <w:r>
        <w:rPr>
          <w:rFonts w:hint="eastAsia" w:ascii="仿宋_GB2312"/>
          <w:color w:val="000000"/>
          <w:szCs w:val="32"/>
        </w:rPr>
        <w:t>个；</w:t>
      </w:r>
    </w:p>
    <w:p w14:paraId="1FCF3181">
      <w:pPr>
        <w:spacing w:line="600" w:lineRule="exact"/>
        <w:ind w:firstLine="640" w:firstLineChars="200"/>
        <w:rPr>
          <w:rFonts w:ascii="仿宋_GB2312"/>
          <w:color w:val="000000"/>
          <w:szCs w:val="32"/>
        </w:rPr>
      </w:pPr>
      <w:r>
        <w:rPr>
          <w:rFonts w:hint="eastAsia" w:ascii="仿宋_GB2312"/>
          <w:color w:val="000000"/>
          <w:szCs w:val="32"/>
        </w:rPr>
        <w:t>6.垃圾中转站</w:t>
      </w:r>
      <w:r>
        <w:rPr>
          <w:rFonts w:hint="eastAsia" w:ascii="仿宋_GB2312"/>
          <w:color w:val="000000"/>
          <w:szCs w:val="32"/>
          <w:u w:val="single"/>
        </w:rPr>
        <w:t xml:space="preserve">      </w:t>
      </w:r>
      <w:r>
        <w:rPr>
          <w:rFonts w:hint="eastAsia" w:ascii="仿宋_GB2312"/>
          <w:color w:val="000000"/>
          <w:szCs w:val="32"/>
        </w:rPr>
        <w:t>个；</w:t>
      </w:r>
    </w:p>
    <w:p w14:paraId="210B99CF">
      <w:pPr>
        <w:spacing w:line="600" w:lineRule="exact"/>
        <w:ind w:firstLine="640" w:firstLineChars="200"/>
        <w:rPr>
          <w:rFonts w:ascii="仿宋_GB2312"/>
          <w:color w:val="000000"/>
          <w:szCs w:val="32"/>
        </w:rPr>
      </w:pPr>
      <w:r>
        <w:rPr>
          <w:rFonts w:hint="eastAsia" w:ascii="仿宋_GB2312"/>
          <w:color w:val="000000"/>
          <w:szCs w:val="32"/>
        </w:rPr>
        <w:t>7.水泵</w:t>
      </w:r>
      <w:r>
        <w:rPr>
          <w:rFonts w:hint="eastAsia" w:ascii="仿宋_GB2312"/>
          <w:color w:val="000000"/>
          <w:szCs w:val="32"/>
          <w:u w:val="single"/>
        </w:rPr>
        <w:t xml:space="preserve">      </w:t>
      </w:r>
      <w:r>
        <w:rPr>
          <w:rFonts w:hint="eastAsia" w:ascii="仿宋_GB2312"/>
          <w:color w:val="000000"/>
          <w:szCs w:val="32"/>
        </w:rPr>
        <w:t>个；</w:t>
      </w:r>
    </w:p>
    <w:p w14:paraId="244086F0">
      <w:pPr>
        <w:spacing w:line="600" w:lineRule="exact"/>
        <w:ind w:firstLine="640" w:firstLineChars="200"/>
        <w:rPr>
          <w:rFonts w:ascii="仿宋_GB2312"/>
          <w:color w:val="000000"/>
          <w:szCs w:val="32"/>
        </w:rPr>
      </w:pPr>
      <w:r>
        <w:rPr>
          <w:rFonts w:hint="eastAsia" w:ascii="仿宋_GB2312"/>
          <w:color w:val="000000"/>
          <w:szCs w:val="32"/>
        </w:rPr>
        <w:t>8.水箱</w:t>
      </w:r>
      <w:r>
        <w:rPr>
          <w:rFonts w:hint="eastAsia" w:ascii="仿宋_GB2312"/>
          <w:color w:val="000000"/>
          <w:szCs w:val="32"/>
          <w:u w:val="single"/>
        </w:rPr>
        <w:t xml:space="preserve">      </w:t>
      </w:r>
      <w:r>
        <w:rPr>
          <w:rFonts w:hint="eastAsia" w:ascii="仿宋_GB2312"/>
          <w:color w:val="000000"/>
          <w:szCs w:val="32"/>
        </w:rPr>
        <w:t>个；</w:t>
      </w:r>
    </w:p>
    <w:p w14:paraId="0F4DA3B6">
      <w:pPr>
        <w:spacing w:line="600" w:lineRule="exact"/>
        <w:ind w:firstLine="640" w:firstLineChars="200"/>
        <w:rPr>
          <w:rFonts w:ascii="仿宋_GB2312"/>
          <w:color w:val="000000"/>
          <w:szCs w:val="32"/>
        </w:rPr>
      </w:pPr>
      <w:r>
        <w:rPr>
          <w:rFonts w:hint="eastAsia" w:ascii="仿宋_GB2312"/>
          <w:color w:val="000000"/>
          <w:szCs w:val="32"/>
        </w:rPr>
        <w:t>9.电梯</w:t>
      </w:r>
      <w:r>
        <w:rPr>
          <w:rFonts w:hint="eastAsia" w:ascii="仿宋_GB2312"/>
          <w:color w:val="000000"/>
          <w:szCs w:val="32"/>
          <w:u w:val="single"/>
        </w:rPr>
        <w:t xml:space="preserve">      </w:t>
      </w:r>
      <w:r>
        <w:rPr>
          <w:rFonts w:hint="eastAsia" w:ascii="仿宋_GB2312"/>
          <w:color w:val="000000"/>
          <w:szCs w:val="32"/>
        </w:rPr>
        <w:t>部；</w:t>
      </w:r>
    </w:p>
    <w:p w14:paraId="114D8852">
      <w:pPr>
        <w:spacing w:line="600" w:lineRule="exact"/>
        <w:ind w:firstLine="640" w:firstLineChars="200"/>
        <w:rPr>
          <w:rFonts w:ascii="仿宋_GB2312"/>
          <w:color w:val="000000"/>
          <w:szCs w:val="32"/>
        </w:rPr>
      </w:pPr>
      <w:r>
        <w:rPr>
          <w:rFonts w:hint="eastAsia" w:ascii="仿宋_GB2312"/>
          <w:color w:val="000000"/>
          <w:szCs w:val="32"/>
        </w:rPr>
        <w:t>10.信报箱</w:t>
      </w:r>
      <w:r>
        <w:rPr>
          <w:rFonts w:hint="eastAsia" w:ascii="仿宋_GB2312"/>
          <w:color w:val="000000"/>
          <w:szCs w:val="32"/>
          <w:u w:val="single"/>
        </w:rPr>
        <w:t xml:space="preserve">      </w:t>
      </w:r>
      <w:r>
        <w:rPr>
          <w:rFonts w:hint="eastAsia" w:ascii="仿宋_GB2312"/>
          <w:color w:val="000000"/>
          <w:szCs w:val="32"/>
        </w:rPr>
        <w:t>个；</w:t>
      </w:r>
    </w:p>
    <w:p w14:paraId="3B1DF0C0">
      <w:pPr>
        <w:spacing w:line="600" w:lineRule="exact"/>
        <w:ind w:firstLine="640" w:firstLineChars="200"/>
        <w:rPr>
          <w:rFonts w:ascii="仿宋_GB2312"/>
          <w:color w:val="000000"/>
          <w:szCs w:val="32"/>
          <w:u w:val="single"/>
        </w:rPr>
      </w:pPr>
      <w:r>
        <w:rPr>
          <w:rFonts w:hint="eastAsia" w:ascii="仿宋_GB2312"/>
          <w:color w:val="000000"/>
          <w:szCs w:val="32"/>
        </w:rPr>
        <w:t>11.消防设施</w:t>
      </w:r>
      <w:r>
        <w:rPr>
          <w:rFonts w:hint="eastAsia" w:ascii="仿宋_GB2312"/>
          <w:color w:val="000000"/>
          <w:szCs w:val="32"/>
          <w:u w:val="single"/>
        </w:rPr>
        <w:t xml:space="preserve">      </w:t>
      </w:r>
      <w:r>
        <w:rPr>
          <w:rFonts w:hint="eastAsia" w:ascii="仿宋_GB2312"/>
          <w:color w:val="000000"/>
          <w:szCs w:val="32"/>
        </w:rPr>
        <w:t>；</w:t>
      </w:r>
    </w:p>
    <w:p w14:paraId="216B8F79">
      <w:pPr>
        <w:spacing w:line="600" w:lineRule="exact"/>
        <w:ind w:firstLine="640" w:firstLineChars="200"/>
        <w:rPr>
          <w:rFonts w:ascii="仿宋_GB2312"/>
          <w:color w:val="000000"/>
          <w:szCs w:val="32"/>
        </w:rPr>
      </w:pPr>
      <w:r>
        <w:rPr>
          <w:rFonts w:hint="eastAsia" w:ascii="仿宋_GB2312"/>
          <w:color w:val="000000"/>
          <w:szCs w:val="32"/>
        </w:rPr>
        <w:t>12.公共照明设施</w:t>
      </w:r>
      <w:r>
        <w:rPr>
          <w:rFonts w:hint="eastAsia" w:ascii="仿宋_GB2312"/>
          <w:color w:val="000000"/>
          <w:szCs w:val="32"/>
          <w:u w:val="single"/>
        </w:rPr>
        <w:t xml:space="preserve">      </w:t>
      </w:r>
      <w:r>
        <w:rPr>
          <w:rFonts w:hint="eastAsia" w:ascii="仿宋_GB2312"/>
          <w:color w:val="000000"/>
          <w:szCs w:val="32"/>
        </w:rPr>
        <w:t>；</w:t>
      </w:r>
    </w:p>
    <w:p w14:paraId="751C8062">
      <w:pPr>
        <w:spacing w:line="600" w:lineRule="exact"/>
        <w:ind w:firstLine="640" w:firstLineChars="200"/>
        <w:rPr>
          <w:rFonts w:ascii="仿宋_GB2312"/>
          <w:color w:val="000000"/>
          <w:szCs w:val="32"/>
        </w:rPr>
      </w:pPr>
      <w:r>
        <w:rPr>
          <w:rFonts w:hint="eastAsia" w:ascii="仿宋_GB2312"/>
          <w:color w:val="000000"/>
          <w:szCs w:val="32"/>
        </w:rPr>
        <w:t>13.监控设施</w:t>
      </w:r>
      <w:r>
        <w:rPr>
          <w:rFonts w:hint="eastAsia" w:ascii="仿宋_GB2312"/>
          <w:color w:val="000000"/>
          <w:szCs w:val="32"/>
          <w:u w:val="single"/>
        </w:rPr>
        <w:t xml:space="preserve">      </w:t>
      </w:r>
      <w:r>
        <w:rPr>
          <w:rFonts w:hint="eastAsia" w:ascii="仿宋_GB2312"/>
          <w:color w:val="000000"/>
          <w:szCs w:val="32"/>
        </w:rPr>
        <w:t>；</w:t>
      </w:r>
    </w:p>
    <w:p w14:paraId="51B81744">
      <w:pPr>
        <w:spacing w:line="600" w:lineRule="exact"/>
        <w:ind w:firstLine="640" w:firstLineChars="200"/>
        <w:rPr>
          <w:rFonts w:ascii="仿宋_GB2312"/>
          <w:color w:val="000000"/>
          <w:szCs w:val="32"/>
        </w:rPr>
      </w:pPr>
      <w:r>
        <w:rPr>
          <w:rFonts w:hint="eastAsia" w:ascii="仿宋_GB2312"/>
          <w:color w:val="000000"/>
          <w:szCs w:val="32"/>
        </w:rPr>
        <w:t>14.避雷设施</w:t>
      </w:r>
      <w:r>
        <w:rPr>
          <w:rFonts w:hint="eastAsia" w:ascii="仿宋_GB2312"/>
          <w:color w:val="000000"/>
          <w:szCs w:val="32"/>
          <w:u w:val="single"/>
        </w:rPr>
        <w:t xml:space="preserve">      </w:t>
      </w:r>
      <w:r>
        <w:rPr>
          <w:rFonts w:hint="eastAsia" w:ascii="仿宋_GB2312"/>
          <w:color w:val="000000"/>
          <w:szCs w:val="32"/>
        </w:rPr>
        <w:t>；</w:t>
      </w:r>
    </w:p>
    <w:p w14:paraId="55EC8A3E">
      <w:pPr>
        <w:spacing w:line="600" w:lineRule="exact"/>
        <w:ind w:firstLine="640" w:firstLineChars="200"/>
        <w:rPr>
          <w:rFonts w:ascii="仿宋_GB2312"/>
          <w:color w:val="000000"/>
          <w:szCs w:val="32"/>
        </w:rPr>
      </w:pPr>
      <w:r>
        <w:rPr>
          <w:rFonts w:hint="eastAsia" w:ascii="仿宋_GB2312"/>
          <w:color w:val="000000"/>
          <w:szCs w:val="32"/>
        </w:rPr>
        <w:t>15.共用天线</w:t>
      </w:r>
      <w:r>
        <w:rPr>
          <w:rFonts w:hint="eastAsia" w:ascii="仿宋_GB2312"/>
          <w:color w:val="000000"/>
          <w:szCs w:val="32"/>
          <w:u w:val="single"/>
        </w:rPr>
        <w:t xml:space="preserve">      </w:t>
      </w:r>
      <w:r>
        <w:rPr>
          <w:rFonts w:hint="eastAsia" w:ascii="仿宋_GB2312"/>
          <w:color w:val="000000"/>
          <w:szCs w:val="32"/>
        </w:rPr>
        <w:t>；</w:t>
      </w:r>
    </w:p>
    <w:p w14:paraId="56C626BC">
      <w:pPr>
        <w:spacing w:line="600" w:lineRule="exact"/>
        <w:ind w:firstLine="640" w:firstLineChars="200"/>
        <w:rPr>
          <w:rFonts w:ascii="仿宋_GB2312"/>
          <w:color w:val="000000"/>
          <w:szCs w:val="32"/>
        </w:rPr>
      </w:pPr>
      <w:r>
        <w:rPr>
          <w:rFonts w:hint="eastAsia" w:ascii="仿宋_GB2312"/>
          <w:color w:val="000000"/>
          <w:szCs w:val="32"/>
        </w:rPr>
        <w:t>16.机动车库</w:t>
      </w:r>
      <w:r>
        <w:rPr>
          <w:rFonts w:hint="eastAsia" w:ascii="仿宋_GB2312"/>
          <w:color w:val="000000"/>
          <w:szCs w:val="32"/>
          <w:u w:val="single"/>
        </w:rPr>
        <w:t xml:space="preserve">        </w:t>
      </w:r>
      <w:r>
        <w:rPr>
          <w:rFonts w:hint="eastAsia" w:ascii="仿宋_GB2312"/>
          <w:color w:val="000000"/>
          <w:szCs w:val="32"/>
        </w:rPr>
        <w:t xml:space="preserve">个 </w:t>
      </w:r>
      <w:r>
        <w:rPr>
          <w:rFonts w:hint="eastAsia" w:ascii="仿宋_GB2312"/>
          <w:color w:val="000000"/>
          <w:szCs w:val="32"/>
          <w:u w:val="single"/>
        </w:rPr>
        <w:t xml:space="preserve">     </w:t>
      </w:r>
      <w:r>
        <w:rPr>
          <w:rFonts w:hint="eastAsia" w:ascii="仿宋_GB2312"/>
          <w:color w:val="000000"/>
          <w:szCs w:val="32"/>
        </w:rPr>
        <w:t>平方米；</w:t>
      </w:r>
    </w:p>
    <w:p w14:paraId="3868C7FB">
      <w:pPr>
        <w:spacing w:line="600" w:lineRule="exact"/>
        <w:ind w:firstLine="640" w:firstLineChars="200"/>
        <w:rPr>
          <w:rFonts w:ascii="仿宋_GB2312"/>
          <w:color w:val="000000"/>
          <w:szCs w:val="32"/>
        </w:rPr>
      </w:pPr>
      <w:r>
        <w:rPr>
          <w:rFonts w:hint="eastAsia" w:ascii="仿宋_GB2312"/>
          <w:color w:val="000000"/>
          <w:szCs w:val="32"/>
        </w:rPr>
        <w:t>17.露天停车场</w:t>
      </w:r>
      <w:r>
        <w:rPr>
          <w:rFonts w:hint="eastAsia" w:ascii="仿宋_GB2312"/>
          <w:color w:val="000000"/>
          <w:szCs w:val="32"/>
          <w:u w:val="single"/>
        </w:rPr>
        <w:t xml:space="preserve">      </w:t>
      </w:r>
      <w:r>
        <w:rPr>
          <w:rFonts w:hint="eastAsia" w:ascii="仿宋_GB2312"/>
          <w:color w:val="000000"/>
          <w:szCs w:val="32"/>
        </w:rPr>
        <w:t>个</w:t>
      </w:r>
      <w:r>
        <w:rPr>
          <w:rFonts w:hint="eastAsia" w:ascii="仿宋_GB2312"/>
          <w:color w:val="000000"/>
          <w:szCs w:val="32"/>
          <w:u w:val="single"/>
        </w:rPr>
        <w:t xml:space="preserve">      </w:t>
      </w:r>
      <w:r>
        <w:rPr>
          <w:rFonts w:hint="eastAsia" w:ascii="仿宋_GB2312"/>
          <w:color w:val="000000"/>
          <w:szCs w:val="32"/>
        </w:rPr>
        <w:t>平方米；</w:t>
      </w:r>
    </w:p>
    <w:p w14:paraId="77A76395">
      <w:pPr>
        <w:spacing w:line="600" w:lineRule="exact"/>
        <w:ind w:firstLine="640" w:firstLineChars="200"/>
        <w:rPr>
          <w:rFonts w:ascii="仿宋_GB2312"/>
          <w:color w:val="000000"/>
          <w:szCs w:val="32"/>
        </w:rPr>
      </w:pPr>
      <w:r>
        <w:rPr>
          <w:rFonts w:hint="eastAsia" w:ascii="仿宋_GB2312"/>
          <w:color w:val="000000"/>
          <w:szCs w:val="32"/>
        </w:rPr>
        <w:t>18.非机动车库</w:t>
      </w:r>
      <w:r>
        <w:rPr>
          <w:rFonts w:hint="eastAsia" w:ascii="仿宋_GB2312"/>
          <w:color w:val="000000"/>
          <w:szCs w:val="32"/>
          <w:u w:val="single"/>
        </w:rPr>
        <w:t xml:space="preserve">      </w:t>
      </w:r>
      <w:r>
        <w:rPr>
          <w:rFonts w:hint="eastAsia" w:ascii="仿宋_GB2312"/>
          <w:color w:val="000000"/>
          <w:szCs w:val="32"/>
        </w:rPr>
        <w:t>个</w:t>
      </w:r>
      <w:r>
        <w:rPr>
          <w:rFonts w:hint="eastAsia" w:ascii="仿宋_GB2312"/>
          <w:color w:val="000000"/>
          <w:szCs w:val="32"/>
          <w:u w:val="single"/>
        </w:rPr>
        <w:t xml:space="preserve">      </w:t>
      </w:r>
      <w:r>
        <w:rPr>
          <w:rFonts w:hint="eastAsia" w:ascii="仿宋_GB2312"/>
          <w:color w:val="000000"/>
          <w:szCs w:val="32"/>
        </w:rPr>
        <w:t>平方米；</w:t>
      </w:r>
    </w:p>
    <w:p w14:paraId="322BD3BB">
      <w:pPr>
        <w:spacing w:line="600" w:lineRule="exact"/>
        <w:ind w:firstLine="640" w:firstLineChars="200"/>
        <w:rPr>
          <w:rFonts w:ascii="仿宋_GB2312"/>
          <w:color w:val="000000"/>
          <w:szCs w:val="32"/>
        </w:rPr>
      </w:pPr>
      <w:r>
        <w:rPr>
          <w:rFonts w:hint="eastAsia" w:ascii="仿宋_GB2312"/>
          <w:color w:val="000000"/>
          <w:szCs w:val="32"/>
        </w:rPr>
        <w:t>19.</w:t>
      </w:r>
      <w:r>
        <w:rPr>
          <w:rFonts w:hint="eastAsia" w:ascii="仿宋_GB2312" w:hAnsi="宋体" w:cs="仿宋_GB2312"/>
          <w:color w:val="000000"/>
          <w:szCs w:val="32"/>
        </w:rPr>
        <w:t>公用设施</w:t>
      </w:r>
      <w:r>
        <w:rPr>
          <w:rFonts w:hint="eastAsia" w:ascii="仿宋_GB2312"/>
          <w:color w:val="000000"/>
          <w:szCs w:val="32"/>
        </w:rPr>
        <w:t>用房</w:t>
      </w:r>
      <w:r>
        <w:rPr>
          <w:rFonts w:hint="eastAsia" w:ascii="仿宋_GB2312"/>
          <w:color w:val="000000"/>
          <w:szCs w:val="32"/>
          <w:u w:val="single"/>
        </w:rPr>
        <w:t xml:space="preserve">      </w:t>
      </w:r>
      <w:r>
        <w:rPr>
          <w:rFonts w:hint="eastAsia" w:ascii="仿宋_GB2312"/>
          <w:color w:val="000000"/>
          <w:szCs w:val="32"/>
        </w:rPr>
        <w:t>平方米；</w:t>
      </w:r>
    </w:p>
    <w:p w14:paraId="30FF4547">
      <w:pPr>
        <w:spacing w:line="600" w:lineRule="exact"/>
        <w:ind w:firstLine="640" w:firstLineChars="200"/>
        <w:rPr>
          <w:rFonts w:ascii="仿宋_GB2312"/>
          <w:color w:val="000000"/>
          <w:szCs w:val="32"/>
          <w:u w:val="single"/>
        </w:rPr>
      </w:pPr>
      <w:r>
        <w:rPr>
          <w:rFonts w:hint="eastAsia" w:ascii="仿宋_GB2312"/>
          <w:color w:val="000000"/>
          <w:szCs w:val="32"/>
        </w:rPr>
        <w:t>20.物业服务用房</w:t>
      </w:r>
      <w:r>
        <w:rPr>
          <w:rFonts w:hint="eastAsia" w:ascii="仿宋_GB2312"/>
          <w:color w:val="000000"/>
          <w:szCs w:val="32"/>
          <w:u w:val="single"/>
        </w:rPr>
        <w:t xml:space="preserve">       </w:t>
      </w:r>
      <w:r>
        <w:rPr>
          <w:rFonts w:hint="eastAsia" w:ascii="仿宋_GB2312"/>
          <w:color w:val="000000"/>
          <w:szCs w:val="32"/>
        </w:rPr>
        <w:t>平方米；</w:t>
      </w:r>
    </w:p>
    <w:p w14:paraId="0308F960">
      <w:pPr>
        <w:spacing w:line="600" w:lineRule="exact"/>
        <w:ind w:firstLine="640" w:firstLineChars="200"/>
        <w:rPr>
          <w:rFonts w:ascii="仿宋_GB2312"/>
          <w:color w:val="000000"/>
          <w:szCs w:val="32"/>
        </w:rPr>
      </w:pPr>
      <w:r>
        <w:rPr>
          <w:rFonts w:hint="eastAsia" w:ascii="仿宋_GB2312"/>
          <w:color w:val="000000"/>
          <w:szCs w:val="32"/>
        </w:rPr>
        <w:t>21.</w:t>
      </w:r>
      <w:r>
        <w:rPr>
          <w:rFonts w:hint="eastAsia" w:ascii="仿宋_GB2312"/>
          <w:color w:val="000000"/>
          <w:szCs w:val="32"/>
          <w:u w:val="single"/>
        </w:rPr>
        <w:t xml:space="preserve">                         </w:t>
      </w:r>
      <w:r>
        <w:rPr>
          <w:rFonts w:hint="eastAsia" w:ascii="仿宋_GB2312"/>
          <w:color w:val="000000"/>
          <w:szCs w:val="32"/>
        </w:rPr>
        <w:t>；</w:t>
      </w:r>
    </w:p>
    <w:p w14:paraId="2FC18BA9">
      <w:pPr>
        <w:spacing w:line="600" w:lineRule="exact"/>
        <w:ind w:firstLine="640" w:firstLineChars="200"/>
        <w:rPr>
          <w:rFonts w:ascii="仿宋_GB2312"/>
          <w:color w:val="000000"/>
          <w:szCs w:val="32"/>
        </w:rPr>
      </w:pPr>
      <w:r>
        <w:rPr>
          <w:rFonts w:hint="eastAsia" w:ascii="仿宋_GB2312"/>
          <w:color w:val="000000"/>
          <w:szCs w:val="32"/>
        </w:rPr>
        <w:t>22.</w:t>
      </w:r>
      <w:r>
        <w:rPr>
          <w:rFonts w:hint="eastAsia" w:ascii="仿宋_GB2312"/>
          <w:color w:val="000000"/>
          <w:szCs w:val="32"/>
          <w:u w:val="single"/>
        </w:rPr>
        <w:t xml:space="preserve">                         </w:t>
      </w:r>
      <w:r>
        <w:rPr>
          <w:rFonts w:hint="eastAsia" w:ascii="仿宋_GB2312"/>
          <w:color w:val="000000"/>
          <w:szCs w:val="32"/>
        </w:rPr>
        <w:t>。</w:t>
      </w:r>
    </w:p>
    <w:p w14:paraId="53339D2E">
      <w:pPr>
        <w:snapToGrid w:val="0"/>
        <w:spacing w:line="560" w:lineRule="exact"/>
        <w:rPr>
          <w:rFonts w:ascii="仿宋_GB2312" w:hAnsi="宋体"/>
          <w:sz w:val="28"/>
          <w:szCs w:val="28"/>
        </w:rPr>
        <w:sectPr>
          <w:footerReference r:id="rId4" w:type="first"/>
          <w:footerReference r:id="rId3" w:type="default"/>
          <w:pgSz w:w="11906" w:h="16838"/>
          <w:pgMar w:top="2098" w:right="1474" w:bottom="1984" w:left="1587" w:header="851" w:footer="1587" w:gutter="0"/>
          <w:cols w:space="720" w:num="1"/>
          <w:titlePg/>
          <w:docGrid w:type="linesAndChars" w:linePitch="312" w:charSpace="0"/>
        </w:sectPr>
      </w:pPr>
    </w:p>
    <w:p w14:paraId="63FBD9A8">
      <w:pPr>
        <w:spacing w:line="600" w:lineRule="exact"/>
        <w:rPr>
          <w:rFonts w:ascii="黑体" w:hAnsi="黑体" w:eastAsia="黑体"/>
          <w:szCs w:val="32"/>
        </w:rPr>
      </w:pPr>
      <w:r>
        <w:rPr>
          <w:rFonts w:hint="eastAsia" w:ascii="黑体" w:hAnsi="黑体" w:eastAsia="黑体"/>
          <w:szCs w:val="32"/>
        </w:rPr>
        <w:t>附件6</w:t>
      </w:r>
    </w:p>
    <w:p w14:paraId="31249FD5">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 xml:space="preserve">物业查验、交接协议 </w:t>
      </w:r>
    </w:p>
    <w:p w14:paraId="29E6D98E">
      <w:pPr>
        <w:spacing w:line="600" w:lineRule="exact"/>
        <w:ind w:firstLine="640" w:firstLineChars="200"/>
        <w:rPr>
          <w:rFonts w:ascii="黑体" w:hAnsi="黑体" w:eastAsia="黑体"/>
          <w:szCs w:val="32"/>
        </w:rPr>
      </w:pPr>
    </w:p>
    <w:p w14:paraId="589222AE">
      <w:pPr>
        <w:spacing w:line="600" w:lineRule="exact"/>
        <w:ind w:firstLine="640" w:firstLineChars="200"/>
        <w:rPr>
          <w:rFonts w:ascii="仿宋_GB2312"/>
          <w:szCs w:val="32"/>
        </w:rPr>
      </w:pPr>
      <w:r>
        <w:rPr>
          <w:rFonts w:hint="eastAsia" w:ascii="仿宋_GB2312"/>
          <w:szCs w:val="32"/>
        </w:rPr>
        <w:t xml:space="preserve">应当包括以下内容： </w:t>
      </w:r>
    </w:p>
    <w:p w14:paraId="31DC0688">
      <w:pPr>
        <w:spacing w:line="600" w:lineRule="exact"/>
        <w:ind w:firstLine="640" w:firstLineChars="200"/>
        <w:rPr>
          <w:rFonts w:ascii="仿宋_GB2312"/>
          <w:szCs w:val="32"/>
        </w:rPr>
      </w:pPr>
      <w:r>
        <w:rPr>
          <w:rFonts w:hint="eastAsia" w:ascii="仿宋_GB2312"/>
          <w:szCs w:val="32"/>
        </w:rPr>
        <w:t xml:space="preserve">一、查验、交接内容； </w:t>
      </w:r>
    </w:p>
    <w:p w14:paraId="71CFF74B">
      <w:pPr>
        <w:spacing w:line="600" w:lineRule="exact"/>
        <w:ind w:firstLine="640" w:firstLineChars="200"/>
        <w:rPr>
          <w:rFonts w:ascii="仿宋_GB2312"/>
          <w:szCs w:val="32"/>
        </w:rPr>
      </w:pPr>
      <w:r>
        <w:rPr>
          <w:rFonts w:hint="eastAsia" w:ascii="仿宋_GB2312"/>
          <w:szCs w:val="32"/>
        </w:rPr>
        <w:t xml:space="preserve">二、查验、交接标准； </w:t>
      </w:r>
    </w:p>
    <w:p w14:paraId="5D9FBC6C">
      <w:pPr>
        <w:spacing w:line="600" w:lineRule="exact"/>
        <w:ind w:firstLine="640" w:firstLineChars="200"/>
        <w:rPr>
          <w:rFonts w:ascii="仿宋_GB2312"/>
          <w:szCs w:val="32"/>
        </w:rPr>
      </w:pPr>
      <w:r>
        <w:rPr>
          <w:rFonts w:hint="eastAsia" w:ascii="仿宋_GB2312"/>
          <w:szCs w:val="32"/>
        </w:rPr>
        <w:t xml:space="preserve">三、查验、交接时间、方法、程序及交接工作； </w:t>
      </w:r>
    </w:p>
    <w:p w14:paraId="61CA14CF">
      <w:pPr>
        <w:spacing w:line="600" w:lineRule="exact"/>
        <w:ind w:firstLine="640" w:firstLineChars="200"/>
        <w:rPr>
          <w:rFonts w:ascii="仿宋_GB2312"/>
          <w:szCs w:val="32"/>
        </w:rPr>
      </w:pPr>
      <w:r>
        <w:rPr>
          <w:rFonts w:hint="eastAsia" w:ascii="仿宋_GB2312"/>
          <w:szCs w:val="32"/>
        </w:rPr>
        <w:t xml:space="preserve">四、资料移交问题以及不合格项目的解决方法； </w:t>
      </w:r>
    </w:p>
    <w:p w14:paraId="20C185E0">
      <w:pPr>
        <w:spacing w:line="600" w:lineRule="exact"/>
        <w:ind w:firstLine="640" w:firstLineChars="200"/>
        <w:rPr>
          <w:rFonts w:ascii="仿宋_GB2312"/>
          <w:szCs w:val="32"/>
        </w:rPr>
      </w:pPr>
      <w:r>
        <w:rPr>
          <w:rFonts w:hint="eastAsia" w:ascii="仿宋_GB2312"/>
          <w:szCs w:val="32"/>
        </w:rPr>
        <w:t xml:space="preserve">五、双方的权利义务； </w:t>
      </w:r>
    </w:p>
    <w:p w14:paraId="43D52EA6">
      <w:pPr>
        <w:spacing w:line="600" w:lineRule="exact"/>
        <w:ind w:firstLine="640" w:firstLineChars="200"/>
        <w:rPr>
          <w:rFonts w:ascii="仿宋_GB2312"/>
          <w:szCs w:val="32"/>
        </w:rPr>
      </w:pPr>
      <w:r>
        <w:rPr>
          <w:rFonts w:hint="eastAsia" w:ascii="仿宋_GB2312"/>
          <w:szCs w:val="32"/>
        </w:rPr>
        <w:t xml:space="preserve">六、违约责任； </w:t>
      </w:r>
    </w:p>
    <w:p w14:paraId="652F7F02">
      <w:pPr>
        <w:spacing w:line="600" w:lineRule="exact"/>
        <w:ind w:firstLine="640" w:firstLineChars="200"/>
        <w:rPr>
          <w:rFonts w:ascii="仿宋_GB2312"/>
          <w:szCs w:val="32"/>
        </w:rPr>
      </w:pPr>
      <w:r>
        <w:rPr>
          <w:rFonts w:hint="eastAsia" w:ascii="仿宋_GB2312"/>
          <w:szCs w:val="32"/>
        </w:rPr>
        <w:t>七、保修条款。</w:t>
      </w:r>
    </w:p>
    <w:p w14:paraId="7FA2FB47">
      <w:pPr>
        <w:spacing w:line="600" w:lineRule="exact"/>
        <w:rPr>
          <w:rFonts w:ascii="黑体" w:hAnsi="黑体" w:eastAsia="黑体"/>
          <w:szCs w:val="32"/>
        </w:rPr>
      </w:pPr>
    </w:p>
    <w:p w14:paraId="71B87049">
      <w:pPr>
        <w:spacing w:line="600" w:lineRule="exact"/>
        <w:rPr>
          <w:rFonts w:ascii="黑体" w:hAnsi="黑体" w:eastAsia="黑体"/>
          <w:szCs w:val="32"/>
        </w:rPr>
      </w:pPr>
    </w:p>
    <w:p w14:paraId="024567AC">
      <w:pPr>
        <w:spacing w:line="600" w:lineRule="exact"/>
        <w:rPr>
          <w:rFonts w:ascii="黑体" w:hAnsi="黑体" w:eastAsia="黑体"/>
          <w:szCs w:val="32"/>
        </w:rPr>
      </w:pPr>
    </w:p>
    <w:p w14:paraId="3DC483FB">
      <w:pPr>
        <w:spacing w:line="600" w:lineRule="exact"/>
        <w:rPr>
          <w:rFonts w:ascii="黑体" w:hAnsi="黑体" w:eastAsia="黑体"/>
          <w:szCs w:val="32"/>
        </w:rPr>
      </w:pPr>
    </w:p>
    <w:p w14:paraId="02A44CA2">
      <w:pPr>
        <w:spacing w:line="600" w:lineRule="exact"/>
        <w:rPr>
          <w:rFonts w:ascii="黑体" w:hAnsi="黑体" w:eastAsia="黑体"/>
          <w:szCs w:val="32"/>
        </w:rPr>
      </w:pPr>
    </w:p>
    <w:p w14:paraId="4C61B53B">
      <w:pPr>
        <w:spacing w:line="600" w:lineRule="exact"/>
        <w:rPr>
          <w:rFonts w:ascii="黑体" w:hAnsi="黑体" w:eastAsia="黑体"/>
          <w:szCs w:val="32"/>
        </w:rPr>
      </w:pPr>
    </w:p>
    <w:p w14:paraId="5975A367">
      <w:pPr>
        <w:spacing w:line="600" w:lineRule="exact"/>
        <w:rPr>
          <w:rFonts w:ascii="黑体" w:hAnsi="黑体" w:eastAsia="黑体"/>
          <w:szCs w:val="32"/>
        </w:rPr>
      </w:pPr>
    </w:p>
    <w:p w14:paraId="2ED264F6">
      <w:pPr>
        <w:spacing w:line="600" w:lineRule="exact"/>
        <w:rPr>
          <w:rFonts w:ascii="黑体" w:hAnsi="黑体" w:eastAsia="黑体"/>
          <w:szCs w:val="32"/>
        </w:rPr>
      </w:pPr>
    </w:p>
    <w:p w14:paraId="153FA814">
      <w:pPr>
        <w:spacing w:line="600" w:lineRule="exact"/>
        <w:rPr>
          <w:rFonts w:ascii="黑体" w:hAnsi="黑体" w:eastAsia="黑体"/>
          <w:szCs w:val="32"/>
        </w:rPr>
      </w:pPr>
    </w:p>
    <w:p w14:paraId="0F95236A">
      <w:pPr>
        <w:spacing w:line="600" w:lineRule="exact"/>
        <w:rPr>
          <w:rFonts w:ascii="黑体" w:hAnsi="黑体" w:eastAsia="黑体"/>
          <w:szCs w:val="32"/>
        </w:rPr>
        <w:sectPr>
          <w:pgSz w:w="11906" w:h="16838"/>
          <w:pgMar w:top="2098" w:right="1474" w:bottom="1984" w:left="1587" w:header="850" w:footer="1587" w:gutter="0"/>
          <w:cols w:space="720" w:num="1"/>
          <w:docGrid w:type="linesAndChars" w:linePitch="312" w:charSpace="0"/>
        </w:sectPr>
      </w:pPr>
    </w:p>
    <w:p w14:paraId="1A187566">
      <w:pPr>
        <w:spacing w:line="600" w:lineRule="exact"/>
        <w:rPr>
          <w:rFonts w:ascii="黑体" w:hAnsi="黑体" w:eastAsia="黑体"/>
          <w:szCs w:val="32"/>
        </w:rPr>
      </w:pPr>
      <w:r>
        <w:rPr>
          <w:rFonts w:hint="eastAsia" w:ascii="黑体" w:hAnsi="黑体" w:eastAsia="黑体"/>
          <w:szCs w:val="32"/>
        </w:rPr>
        <w:t>附件7</w:t>
      </w:r>
    </w:p>
    <w:p w14:paraId="07CACD46">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住宅物业服务等级标准</w:t>
      </w:r>
    </w:p>
    <w:p w14:paraId="7B4B55A9">
      <w:pPr>
        <w:snapToGrid w:val="0"/>
        <w:spacing w:line="360" w:lineRule="auto"/>
        <w:jc w:val="left"/>
        <w:rPr>
          <w:rFonts w:ascii="仿宋_GB2312" w:hAnsi="宋体"/>
          <w:b/>
          <w:szCs w:val="32"/>
        </w:rPr>
      </w:pPr>
    </w:p>
    <w:p w14:paraId="112B27B0">
      <w:pPr>
        <w:spacing w:line="600" w:lineRule="exact"/>
        <w:rPr>
          <w:rFonts w:ascii="黑体" w:hAnsi="黑体" w:eastAsia="黑体"/>
          <w:szCs w:val="32"/>
        </w:rPr>
      </w:pPr>
    </w:p>
    <w:p w14:paraId="474A1A68">
      <w:pPr>
        <w:rPr>
          <w:rFonts w:ascii="黑体" w:hAnsi="黑体" w:eastAsia="黑体"/>
          <w:szCs w:val="32"/>
        </w:rPr>
      </w:pPr>
    </w:p>
    <w:p w14:paraId="305367AE">
      <w:pPr>
        <w:rPr>
          <w:rFonts w:ascii="黑体" w:hAnsi="黑体" w:eastAsia="黑体"/>
          <w:szCs w:val="32"/>
        </w:rPr>
      </w:pPr>
    </w:p>
    <w:p w14:paraId="283C17C5">
      <w:pPr>
        <w:rPr>
          <w:rFonts w:ascii="黑体" w:hAnsi="黑体" w:eastAsia="黑体"/>
          <w:szCs w:val="32"/>
        </w:rPr>
      </w:pPr>
    </w:p>
    <w:p w14:paraId="3812F3D4">
      <w:pPr>
        <w:rPr>
          <w:rFonts w:ascii="黑体" w:hAnsi="黑体" w:eastAsia="黑体"/>
          <w:szCs w:val="32"/>
        </w:rPr>
      </w:pPr>
    </w:p>
    <w:p w14:paraId="11E4E7DA">
      <w:pPr>
        <w:rPr>
          <w:rFonts w:ascii="黑体" w:hAnsi="黑体" w:eastAsia="黑体"/>
          <w:szCs w:val="32"/>
        </w:rPr>
      </w:pPr>
    </w:p>
    <w:p w14:paraId="2DAA3F1C">
      <w:pPr>
        <w:rPr>
          <w:rFonts w:ascii="黑体" w:hAnsi="黑体" w:eastAsia="黑体"/>
          <w:szCs w:val="32"/>
        </w:rPr>
      </w:pPr>
    </w:p>
    <w:p w14:paraId="6608E26E">
      <w:pPr>
        <w:rPr>
          <w:rFonts w:ascii="黑体" w:hAnsi="黑体" w:eastAsia="黑体"/>
          <w:szCs w:val="32"/>
        </w:rPr>
      </w:pPr>
    </w:p>
    <w:p w14:paraId="23BFF4C1">
      <w:pPr>
        <w:rPr>
          <w:rFonts w:ascii="黑体" w:hAnsi="黑体" w:eastAsia="黑体"/>
          <w:szCs w:val="32"/>
        </w:rPr>
      </w:pPr>
    </w:p>
    <w:p w14:paraId="4D91EDA2">
      <w:pPr>
        <w:rPr>
          <w:rFonts w:ascii="黑体" w:hAnsi="黑体" w:eastAsia="黑体"/>
          <w:szCs w:val="32"/>
        </w:rPr>
      </w:pPr>
    </w:p>
    <w:p w14:paraId="1DBC4862">
      <w:pPr>
        <w:rPr>
          <w:rFonts w:ascii="黑体" w:hAnsi="黑体" w:eastAsia="黑体"/>
          <w:szCs w:val="32"/>
        </w:rPr>
      </w:pPr>
    </w:p>
    <w:p w14:paraId="3FBA5ACD">
      <w:pPr>
        <w:rPr>
          <w:rFonts w:ascii="黑体" w:hAnsi="黑体" w:eastAsia="黑体"/>
          <w:szCs w:val="32"/>
        </w:rPr>
      </w:pPr>
    </w:p>
    <w:p w14:paraId="4F98E072">
      <w:pPr>
        <w:spacing w:line="600" w:lineRule="exact"/>
        <w:rPr>
          <w:rFonts w:ascii="黑体" w:hAnsi="黑体" w:eastAsia="黑体"/>
          <w:szCs w:val="32"/>
        </w:rPr>
      </w:pPr>
    </w:p>
    <w:p w14:paraId="0B391E90">
      <w:pPr>
        <w:spacing w:line="600" w:lineRule="exact"/>
        <w:rPr>
          <w:rFonts w:ascii="黑体" w:hAnsi="黑体" w:eastAsia="黑体"/>
          <w:szCs w:val="32"/>
        </w:rPr>
      </w:pPr>
    </w:p>
    <w:p w14:paraId="12AEE1D7">
      <w:pPr>
        <w:spacing w:line="600" w:lineRule="exact"/>
        <w:rPr>
          <w:rFonts w:ascii="黑体" w:hAnsi="黑体" w:eastAsia="黑体"/>
          <w:szCs w:val="32"/>
        </w:rPr>
      </w:pPr>
    </w:p>
    <w:p w14:paraId="135CB451">
      <w:pPr>
        <w:spacing w:line="600" w:lineRule="exact"/>
        <w:rPr>
          <w:rFonts w:ascii="黑体" w:hAnsi="黑体" w:eastAsia="黑体"/>
          <w:szCs w:val="32"/>
        </w:rPr>
      </w:pPr>
    </w:p>
    <w:p w14:paraId="573439FE">
      <w:pPr>
        <w:spacing w:line="600" w:lineRule="exact"/>
        <w:rPr>
          <w:rFonts w:ascii="黑体" w:hAnsi="黑体" w:eastAsia="黑体"/>
          <w:szCs w:val="32"/>
        </w:rPr>
        <w:sectPr>
          <w:headerReference r:id="rId5" w:type="default"/>
          <w:footerReference r:id="rId6" w:type="default"/>
          <w:pgSz w:w="11906" w:h="16838"/>
          <w:pgMar w:top="2098" w:right="1474" w:bottom="1984" w:left="1587" w:header="850" w:footer="1587" w:gutter="0"/>
          <w:cols w:space="720" w:num="1"/>
          <w:docGrid w:type="linesAndChars" w:linePitch="312" w:charSpace="0"/>
        </w:sectPr>
      </w:pPr>
    </w:p>
    <w:p w14:paraId="3E7D2C98">
      <w:pPr>
        <w:spacing w:line="600" w:lineRule="exact"/>
        <w:rPr>
          <w:rFonts w:ascii="黑体" w:hAnsi="黑体" w:eastAsia="黑体"/>
          <w:szCs w:val="32"/>
        </w:rPr>
      </w:pPr>
      <w:r>
        <w:rPr>
          <w:rFonts w:hint="eastAsia" w:ascii="黑体" w:hAnsi="黑体" w:eastAsia="黑体"/>
          <w:szCs w:val="32"/>
        </w:rPr>
        <w:t>附件8</w:t>
      </w:r>
    </w:p>
    <w:p w14:paraId="4962BE0C">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项目负责人及主要专业技术与管理人员</w:t>
      </w:r>
    </w:p>
    <w:p w14:paraId="5A08C0A8">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基本情况</w:t>
      </w:r>
    </w:p>
    <w:p w14:paraId="78E9AF49">
      <w:pPr>
        <w:spacing w:line="600" w:lineRule="exact"/>
        <w:rPr>
          <w:rFonts w:ascii="仿宋_GB2312"/>
          <w:szCs w:val="32"/>
        </w:rPr>
      </w:pPr>
    </w:p>
    <w:p w14:paraId="60803996">
      <w:pPr>
        <w:spacing w:line="600" w:lineRule="exact"/>
        <w:ind w:firstLine="640" w:firstLineChars="200"/>
        <w:rPr>
          <w:rFonts w:ascii="仿宋_GB2312"/>
          <w:szCs w:val="32"/>
        </w:rPr>
      </w:pPr>
      <w:r>
        <w:rPr>
          <w:rFonts w:hint="eastAsia" w:ascii="仿宋_GB2312"/>
          <w:szCs w:val="32"/>
        </w:rPr>
        <w:t>项目经理姓名：</w:t>
      </w:r>
      <w:r>
        <w:rPr>
          <w:rFonts w:hint="eastAsia" w:ascii="仿宋_GB2312"/>
          <w:szCs w:val="32"/>
          <w:u w:val="single"/>
        </w:rPr>
        <w:t xml:space="preserve">       </w:t>
      </w:r>
      <w:r>
        <w:rPr>
          <w:rFonts w:hint="eastAsia" w:ascii="仿宋_GB2312"/>
          <w:szCs w:val="32"/>
        </w:rPr>
        <w:t xml:space="preserve"> </w:t>
      </w:r>
    </w:p>
    <w:p w14:paraId="2BB63878">
      <w:pPr>
        <w:spacing w:line="600" w:lineRule="exact"/>
        <w:ind w:firstLine="640" w:firstLineChars="200"/>
        <w:rPr>
          <w:rFonts w:ascii="仿宋_GB2312"/>
          <w:szCs w:val="32"/>
        </w:rPr>
      </w:pPr>
      <w:r>
        <w:rPr>
          <w:rFonts w:hint="eastAsia" w:ascii="仿宋_GB2312"/>
          <w:szCs w:val="32"/>
        </w:rPr>
        <w:t>客服员</w:t>
      </w:r>
      <w:r>
        <w:rPr>
          <w:rFonts w:hint="eastAsia" w:ascii="仿宋_GB2312"/>
          <w:szCs w:val="32"/>
          <w:u w:val="single"/>
        </w:rPr>
        <w:t xml:space="preserve">      </w:t>
      </w:r>
      <w:r>
        <w:rPr>
          <w:rFonts w:hint="eastAsia" w:ascii="仿宋_GB2312"/>
          <w:szCs w:val="32"/>
        </w:rPr>
        <w:t>人，工程维修员</w:t>
      </w:r>
      <w:r>
        <w:rPr>
          <w:rFonts w:hint="eastAsia" w:ascii="仿宋_GB2312"/>
          <w:szCs w:val="32"/>
          <w:u w:val="single"/>
        </w:rPr>
        <w:t xml:space="preserve">       </w:t>
      </w:r>
      <w:r>
        <w:rPr>
          <w:rFonts w:hint="eastAsia" w:ascii="仿宋_GB2312"/>
          <w:szCs w:val="32"/>
        </w:rPr>
        <w:t>人，秩序维护员</w:t>
      </w:r>
      <w:r>
        <w:rPr>
          <w:rFonts w:hint="eastAsia" w:ascii="仿宋_GB2312"/>
          <w:szCs w:val="32"/>
          <w:u w:val="single"/>
        </w:rPr>
        <w:t xml:space="preserve">     </w:t>
      </w:r>
      <w:r>
        <w:rPr>
          <w:rFonts w:hint="eastAsia" w:ascii="仿宋_GB2312"/>
          <w:szCs w:val="32"/>
        </w:rPr>
        <w:t>人，保洁员</w:t>
      </w:r>
      <w:r>
        <w:rPr>
          <w:rFonts w:hint="eastAsia" w:ascii="仿宋_GB2312"/>
          <w:szCs w:val="32"/>
          <w:u w:val="single"/>
        </w:rPr>
        <w:t xml:space="preserve">    </w:t>
      </w:r>
      <w:r>
        <w:rPr>
          <w:rFonts w:hint="eastAsia" w:ascii="仿宋_GB2312"/>
          <w:szCs w:val="32"/>
        </w:rPr>
        <w:t>人，绿化养护员</w:t>
      </w:r>
      <w:r>
        <w:rPr>
          <w:rFonts w:hint="eastAsia" w:ascii="仿宋_GB2312"/>
          <w:szCs w:val="32"/>
          <w:u w:val="single"/>
        </w:rPr>
        <w:t xml:space="preserve">       </w:t>
      </w:r>
      <w:r>
        <w:rPr>
          <w:rFonts w:hint="eastAsia" w:ascii="仿宋_GB2312"/>
          <w:szCs w:val="32"/>
        </w:rPr>
        <w:t>人；其他</w:t>
      </w:r>
      <w:r>
        <w:rPr>
          <w:rFonts w:hint="eastAsia" w:ascii="仿宋_GB2312"/>
          <w:szCs w:val="32"/>
          <w:u w:val="single"/>
        </w:rPr>
        <w:t xml:space="preserve">        </w:t>
      </w:r>
      <w:r>
        <w:rPr>
          <w:rFonts w:hint="eastAsia" w:ascii="仿宋_GB2312"/>
          <w:szCs w:val="32"/>
        </w:rPr>
        <w:t>人；合计</w:t>
      </w:r>
      <w:r>
        <w:rPr>
          <w:rFonts w:hint="eastAsia" w:ascii="仿宋_GB2312"/>
          <w:szCs w:val="32"/>
          <w:u w:val="single"/>
        </w:rPr>
        <w:t xml:space="preserve">        </w:t>
      </w:r>
      <w:r>
        <w:rPr>
          <w:rFonts w:hint="eastAsia" w:ascii="仿宋_GB2312"/>
          <w:szCs w:val="32"/>
        </w:rPr>
        <w:t>人。</w:t>
      </w:r>
    </w:p>
    <w:p w14:paraId="25D0DE46">
      <w:pPr>
        <w:spacing w:line="600" w:lineRule="exact"/>
        <w:rPr>
          <w:rFonts w:ascii="黑体" w:hAnsi="黑体" w:eastAsia="黑体"/>
          <w:szCs w:val="32"/>
        </w:rPr>
      </w:pPr>
    </w:p>
    <w:p w14:paraId="3E000714">
      <w:pPr>
        <w:spacing w:line="600" w:lineRule="exact"/>
        <w:rPr>
          <w:rFonts w:ascii="黑体" w:hAnsi="黑体" w:eastAsia="黑体"/>
          <w:szCs w:val="32"/>
        </w:rPr>
      </w:pPr>
    </w:p>
    <w:p w14:paraId="4F66D7C6">
      <w:pPr>
        <w:spacing w:line="600" w:lineRule="exact"/>
        <w:rPr>
          <w:rFonts w:ascii="黑体" w:hAnsi="黑体" w:eastAsia="黑体"/>
          <w:szCs w:val="32"/>
        </w:rPr>
      </w:pPr>
    </w:p>
    <w:p w14:paraId="5DE72A3C">
      <w:pPr>
        <w:spacing w:line="600" w:lineRule="exact"/>
        <w:rPr>
          <w:rFonts w:ascii="黑体" w:hAnsi="黑体" w:eastAsia="黑体"/>
          <w:szCs w:val="32"/>
        </w:rPr>
      </w:pPr>
    </w:p>
    <w:p w14:paraId="2358C0C0">
      <w:pPr>
        <w:spacing w:line="600" w:lineRule="exact"/>
        <w:rPr>
          <w:rFonts w:ascii="黑体" w:hAnsi="黑体" w:eastAsia="黑体"/>
          <w:szCs w:val="32"/>
        </w:rPr>
      </w:pPr>
    </w:p>
    <w:p w14:paraId="621FCDD1">
      <w:pPr>
        <w:spacing w:line="600" w:lineRule="exact"/>
        <w:rPr>
          <w:rFonts w:ascii="黑体" w:hAnsi="黑体" w:eastAsia="黑体"/>
          <w:szCs w:val="32"/>
        </w:rPr>
      </w:pPr>
    </w:p>
    <w:p w14:paraId="17A54625">
      <w:pPr>
        <w:spacing w:line="600" w:lineRule="exact"/>
        <w:rPr>
          <w:rFonts w:ascii="黑体" w:hAnsi="黑体" w:eastAsia="黑体"/>
          <w:szCs w:val="32"/>
        </w:rPr>
      </w:pPr>
    </w:p>
    <w:p w14:paraId="1F415DE3">
      <w:pPr>
        <w:rPr>
          <w:rFonts w:ascii="黑体" w:hAnsi="黑体" w:eastAsia="黑体"/>
          <w:szCs w:val="32"/>
        </w:rPr>
      </w:pPr>
    </w:p>
    <w:p w14:paraId="2BABAF42">
      <w:pPr>
        <w:rPr>
          <w:rFonts w:ascii="黑体" w:hAnsi="黑体" w:eastAsia="黑体"/>
          <w:szCs w:val="32"/>
        </w:rPr>
      </w:pPr>
    </w:p>
    <w:p w14:paraId="7B306402">
      <w:pPr>
        <w:spacing w:line="600" w:lineRule="exact"/>
        <w:rPr>
          <w:rFonts w:ascii="黑体" w:hAnsi="黑体" w:eastAsia="黑体"/>
          <w:szCs w:val="32"/>
        </w:rPr>
      </w:pPr>
    </w:p>
    <w:p w14:paraId="7E84EDAC">
      <w:pPr>
        <w:spacing w:line="600" w:lineRule="exact"/>
        <w:rPr>
          <w:rFonts w:ascii="黑体" w:hAnsi="黑体" w:eastAsia="黑体"/>
          <w:szCs w:val="32"/>
        </w:rPr>
      </w:pPr>
    </w:p>
    <w:p w14:paraId="5CC26EB8">
      <w:pPr>
        <w:spacing w:line="600" w:lineRule="exact"/>
        <w:rPr>
          <w:rFonts w:ascii="黑体" w:hAnsi="黑体" w:eastAsia="黑体"/>
          <w:szCs w:val="32"/>
        </w:rPr>
      </w:pPr>
    </w:p>
    <w:p w14:paraId="35639DC5">
      <w:pPr>
        <w:spacing w:line="600" w:lineRule="exact"/>
        <w:rPr>
          <w:rFonts w:ascii="黑体" w:hAnsi="黑体" w:eastAsia="黑体"/>
          <w:szCs w:val="32"/>
        </w:rPr>
      </w:pPr>
      <w:r>
        <w:rPr>
          <w:rFonts w:hint="eastAsia" w:ascii="黑体" w:hAnsi="黑体" w:eastAsia="黑体"/>
          <w:szCs w:val="32"/>
        </w:rPr>
        <w:t>附件9</w:t>
      </w:r>
    </w:p>
    <w:p w14:paraId="6094909F">
      <w:pPr>
        <w:spacing w:line="68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物业服务履约情况业主评价表</w:t>
      </w:r>
    </w:p>
    <w:tbl>
      <w:tblPr>
        <w:tblStyle w:val="18"/>
        <w:tblW w:w="92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5246"/>
        <w:gridCol w:w="716"/>
        <w:gridCol w:w="696"/>
        <w:gridCol w:w="842"/>
        <w:gridCol w:w="975"/>
      </w:tblGrid>
      <w:tr w14:paraId="37096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731" w:type="dxa"/>
            <w:vMerge w:val="restart"/>
            <w:vAlign w:val="center"/>
          </w:tcPr>
          <w:p w14:paraId="7AF72ADA">
            <w:pPr>
              <w:spacing w:line="360" w:lineRule="exact"/>
              <w:jc w:val="center"/>
              <w:rPr>
                <w:rFonts w:ascii="仿宋_GB2312" w:hAnsi="仿宋_GB2312" w:cs="仿宋_GB2312"/>
                <w:sz w:val="28"/>
                <w:szCs w:val="28"/>
              </w:rPr>
            </w:pPr>
            <w:r>
              <w:rPr>
                <w:rFonts w:hint="eastAsia" w:ascii="仿宋_GB2312" w:hAnsi="仿宋_GB2312" w:cs="仿宋_GB2312"/>
                <w:sz w:val="28"/>
                <w:szCs w:val="28"/>
              </w:rPr>
              <w:t>序号</w:t>
            </w:r>
          </w:p>
        </w:tc>
        <w:tc>
          <w:tcPr>
            <w:tcW w:w="5246" w:type="dxa"/>
            <w:vMerge w:val="restart"/>
            <w:vAlign w:val="center"/>
          </w:tcPr>
          <w:p w14:paraId="4B722AE1">
            <w:pPr>
              <w:spacing w:line="360" w:lineRule="exact"/>
              <w:jc w:val="center"/>
              <w:rPr>
                <w:rFonts w:ascii="仿宋_GB2312" w:hAnsi="仿宋_GB2312" w:cs="仿宋_GB2312"/>
                <w:sz w:val="28"/>
                <w:szCs w:val="28"/>
              </w:rPr>
            </w:pPr>
            <w:r>
              <w:rPr>
                <w:rFonts w:hint="eastAsia" w:ascii="仿宋_GB2312" w:hAnsi="仿宋_GB2312" w:cs="仿宋_GB2312"/>
                <w:sz w:val="28"/>
                <w:szCs w:val="28"/>
              </w:rPr>
              <w:t>评价指标</w:t>
            </w:r>
          </w:p>
        </w:tc>
        <w:tc>
          <w:tcPr>
            <w:tcW w:w="716" w:type="dxa"/>
            <w:vAlign w:val="center"/>
          </w:tcPr>
          <w:p w14:paraId="40BAED51">
            <w:pPr>
              <w:spacing w:line="360" w:lineRule="exact"/>
              <w:jc w:val="center"/>
              <w:rPr>
                <w:rFonts w:ascii="仿宋_GB2312" w:hAnsi="仿宋_GB2312" w:cs="仿宋_GB2312"/>
                <w:sz w:val="28"/>
                <w:szCs w:val="28"/>
              </w:rPr>
            </w:pPr>
            <w:r>
              <w:rPr>
                <w:rFonts w:hint="eastAsia" w:ascii="仿宋_GB2312" w:hAnsi="仿宋_GB2312" w:cs="仿宋_GB2312"/>
                <w:sz w:val="28"/>
                <w:szCs w:val="28"/>
              </w:rPr>
              <w:t>满意</w:t>
            </w:r>
          </w:p>
        </w:tc>
        <w:tc>
          <w:tcPr>
            <w:tcW w:w="696" w:type="dxa"/>
            <w:vAlign w:val="center"/>
          </w:tcPr>
          <w:p w14:paraId="08FC33EF">
            <w:pPr>
              <w:spacing w:line="360" w:lineRule="exact"/>
              <w:jc w:val="center"/>
              <w:rPr>
                <w:rFonts w:ascii="仿宋_GB2312" w:hAnsi="仿宋_GB2312" w:cs="仿宋_GB2312"/>
                <w:sz w:val="28"/>
                <w:szCs w:val="28"/>
              </w:rPr>
            </w:pPr>
            <w:r>
              <w:rPr>
                <w:rFonts w:hint="eastAsia" w:ascii="仿宋_GB2312" w:hAnsi="仿宋_GB2312" w:cs="仿宋_GB2312"/>
                <w:sz w:val="28"/>
                <w:szCs w:val="28"/>
              </w:rPr>
              <w:t>一般</w:t>
            </w:r>
          </w:p>
        </w:tc>
        <w:tc>
          <w:tcPr>
            <w:tcW w:w="842" w:type="dxa"/>
            <w:vAlign w:val="center"/>
          </w:tcPr>
          <w:p w14:paraId="1E53F1A4">
            <w:pPr>
              <w:spacing w:line="360" w:lineRule="exact"/>
              <w:jc w:val="center"/>
              <w:rPr>
                <w:rFonts w:ascii="仿宋_GB2312" w:hAnsi="仿宋_GB2312" w:cs="仿宋_GB2312"/>
                <w:sz w:val="28"/>
                <w:szCs w:val="28"/>
              </w:rPr>
            </w:pPr>
            <w:r>
              <w:rPr>
                <w:rFonts w:hint="eastAsia" w:ascii="仿宋_GB2312" w:hAnsi="仿宋_GB2312" w:cs="仿宋_GB2312"/>
                <w:sz w:val="28"/>
                <w:szCs w:val="28"/>
              </w:rPr>
              <w:t>不满意</w:t>
            </w:r>
          </w:p>
        </w:tc>
        <w:tc>
          <w:tcPr>
            <w:tcW w:w="975" w:type="dxa"/>
            <w:vAlign w:val="center"/>
          </w:tcPr>
          <w:p w14:paraId="7146DE6A">
            <w:pPr>
              <w:spacing w:line="360" w:lineRule="exact"/>
              <w:jc w:val="center"/>
              <w:rPr>
                <w:rFonts w:ascii="仿宋_GB2312" w:hAnsi="仿宋_GB2312" w:cs="仿宋_GB2312"/>
                <w:sz w:val="28"/>
                <w:szCs w:val="28"/>
              </w:rPr>
            </w:pPr>
            <w:r>
              <w:rPr>
                <w:rFonts w:hint="eastAsia" w:ascii="仿宋_GB2312" w:hAnsi="仿宋_GB2312" w:cs="仿宋_GB2312"/>
                <w:sz w:val="28"/>
                <w:szCs w:val="28"/>
              </w:rPr>
              <w:t>极不满意</w:t>
            </w:r>
          </w:p>
        </w:tc>
      </w:tr>
      <w:tr w14:paraId="5820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731" w:type="dxa"/>
            <w:vMerge w:val="continue"/>
            <w:vAlign w:val="center"/>
          </w:tcPr>
          <w:p w14:paraId="089B9559">
            <w:pPr>
              <w:spacing w:line="360" w:lineRule="exact"/>
              <w:jc w:val="center"/>
              <w:rPr>
                <w:rFonts w:ascii="仿宋_GB2312" w:hAnsi="仿宋_GB2312" w:cs="仿宋_GB2312"/>
                <w:sz w:val="28"/>
                <w:szCs w:val="28"/>
              </w:rPr>
            </w:pPr>
          </w:p>
        </w:tc>
        <w:tc>
          <w:tcPr>
            <w:tcW w:w="5246" w:type="dxa"/>
            <w:vMerge w:val="continue"/>
            <w:vAlign w:val="center"/>
          </w:tcPr>
          <w:p w14:paraId="25E6C252">
            <w:pPr>
              <w:spacing w:line="360" w:lineRule="exact"/>
              <w:jc w:val="center"/>
              <w:rPr>
                <w:rFonts w:ascii="仿宋_GB2312" w:hAnsi="仿宋_GB2312" w:cs="仿宋_GB2312"/>
                <w:sz w:val="28"/>
                <w:szCs w:val="28"/>
              </w:rPr>
            </w:pPr>
          </w:p>
        </w:tc>
        <w:tc>
          <w:tcPr>
            <w:tcW w:w="716" w:type="dxa"/>
            <w:vAlign w:val="center"/>
          </w:tcPr>
          <w:p w14:paraId="1886367B">
            <w:pPr>
              <w:spacing w:line="360" w:lineRule="exact"/>
              <w:jc w:val="center"/>
              <w:rPr>
                <w:rFonts w:ascii="仿宋_GB2312" w:hAnsi="仿宋_GB2312" w:cs="仿宋_GB2312"/>
                <w:sz w:val="28"/>
                <w:szCs w:val="28"/>
              </w:rPr>
            </w:pPr>
            <w:r>
              <w:rPr>
                <w:rFonts w:hint="eastAsia" w:ascii="仿宋_GB2312" w:hAnsi="仿宋_GB2312" w:cs="仿宋_GB2312"/>
                <w:sz w:val="28"/>
                <w:szCs w:val="28"/>
              </w:rPr>
              <w:t>5分</w:t>
            </w:r>
          </w:p>
        </w:tc>
        <w:tc>
          <w:tcPr>
            <w:tcW w:w="696" w:type="dxa"/>
            <w:vAlign w:val="center"/>
          </w:tcPr>
          <w:p w14:paraId="07E479F6">
            <w:pPr>
              <w:spacing w:line="360" w:lineRule="exact"/>
              <w:jc w:val="center"/>
              <w:rPr>
                <w:rFonts w:ascii="仿宋_GB2312" w:hAnsi="仿宋_GB2312" w:cs="仿宋_GB2312"/>
                <w:sz w:val="28"/>
                <w:szCs w:val="28"/>
              </w:rPr>
            </w:pPr>
            <w:r>
              <w:rPr>
                <w:rFonts w:hint="eastAsia" w:ascii="仿宋_GB2312" w:hAnsi="仿宋_GB2312" w:cs="仿宋_GB2312"/>
                <w:sz w:val="28"/>
                <w:szCs w:val="28"/>
              </w:rPr>
              <w:t>3分</w:t>
            </w:r>
          </w:p>
        </w:tc>
        <w:tc>
          <w:tcPr>
            <w:tcW w:w="842" w:type="dxa"/>
            <w:vAlign w:val="center"/>
          </w:tcPr>
          <w:p w14:paraId="5B08E2F3">
            <w:pPr>
              <w:spacing w:line="360" w:lineRule="exact"/>
              <w:jc w:val="center"/>
              <w:rPr>
                <w:rFonts w:ascii="仿宋_GB2312" w:hAnsi="仿宋_GB2312" w:cs="仿宋_GB2312"/>
                <w:sz w:val="28"/>
                <w:szCs w:val="28"/>
              </w:rPr>
            </w:pPr>
            <w:r>
              <w:rPr>
                <w:rFonts w:hint="eastAsia" w:ascii="仿宋_GB2312" w:hAnsi="仿宋_GB2312" w:cs="仿宋_GB2312"/>
                <w:sz w:val="28"/>
                <w:szCs w:val="28"/>
              </w:rPr>
              <w:t>1分</w:t>
            </w:r>
          </w:p>
        </w:tc>
        <w:tc>
          <w:tcPr>
            <w:tcW w:w="975" w:type="dxa"/>
            <w:vAlign w:val="center"/>
          </w:tcPr>
          <w:p w14:paraId="7D801FB9">
            <w:pPr>
              <w:spacing w:line="360" w:lineRule="exact"/>
              <w:jc w:val="center"/>
              <w:rPr>
                <w:rFonts w:ascii="仿宋_GB2312" w:hAnsi="仿宋_GB2312" w:cs="仿宋_GB2312"/>
                <w:sz w:val="28"/>
                <w:szCs w:val="28"/>
              </w:rPr>
            </w:pPr>
            <w:r>
              <w:rPr>
                <w:rFonts w:hint="eastAsia" w:ascii="仿宋_GB2312" w:hAnsi="仿宋_GB2312" w:cs="仿宋_GB2312"/>
                <w:sz w:val="28"/>
                <w:szCs w:val="28"/>
              </w:rPr>
              <w:t>0分</w:t>
            </w:r>
          </w:p>
        </w:tc>
      </w:tr>
      <w:tr w14:paraId="1E281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5489CD81">
            <w:pPr>
              <w:spacing w:line="360" w:lineRule="exact"/>
              <w:jc w:val="center"/>
              <w:rPr>
                <w:rFonts w:ascii="仿宋_GB2312" w:hAnsi="仿宋_GB2312" w:cs="仿宋_GB2312"/>
                <w:sz w:val="28"/>
                <w:szCs w:val="28"/>
              </w:rPr>
            </w:pPr>
            <w:r>
              <w:rPr>
                <w:rFonts w:hint="eastAsia" w:ascii="仿宋_GB2312" w:hAnsi="仿宋_GB2312" w:cs="仿宋_GB2312"/>
                <w:sz w:val="28"/>
                <w:szCs w:val="28"/>
              </w:rPr>
              <w:t>1</w:t>
            </w:r>
          </w:p>
        </w:tc>
        <w:tc>
          <w:tcPr>
            <w:tcW w:w="5246" w:type="dxa"/>
            <w:vAlign w:val="center"/>
          </w:tcPr>
          <w:p w14:paraId="7529F276">
            <w:pPr>
              <w:spacing w:line="360" w:lineRule="exact"/>
              <w:jc w:val="center"/>
              <w:rPr>
                <w:rFonts w:ascii="仿宋_GB2312" w:hAnsi="仿宋_GB2312" w:cs="仿宋_GB2312"/>
                <w:sz w:val="28"/>
                <w:szCs w:val="28"/>
              </w:rPr>
            </w:pPr>
            <w:r>
              <w:rPr>
                <w:rFonts w:hint="eastAsia" w:ascii="仿宋_GB2312" w:hAnsi="仿宋_GB2312" w:cs="仿宋_GB2312"/>
                <w:sz w:val="28"/>
                <w:szCs w:val="28"/>
              </w:rPr>
              <w:t>工作人员服装统一、行为规范</w:t>
            </w:r>
          </w:p>
        </w:tc>
        <w:tc>
          <w:tcPr>
            <w:tcW w:w="716" w:type="dxa"/>
            <w:vAlign w:val="center"/>
          </w:tcPr>
          <w:p w14:paraId="4A61E451">
            <w:pPr>
              <w:spacing w:line="360" w:lineRule="exact"/>
              <w:jc w:val="center"/>
              <w:rPr>
                <w:rFonts w:ascii="仿宋_GB2312" w:hAnsi="仿宋_GB2312" w:cs="仿宋_GB2312"/>
                <w:sz w:val="28"/>
                <w:szCs w:val="28"/>
              </w:rPr>
            </w:pPr>
          </w:p>
        </w:tc>
        <w:tc>
          <w:tcPr>
            <w:tcW w:w="696" w:type="dxa"/>
            <w:vAlign w:val="center"/>
          </w:tcPr>
          <w:p w14:paraId="64F274D9">
            <w:pPr>
              <w:spacing w:line="360" w:lineRule="exact"/>
              <w:jc w:val="center"/>
              <w:rPr>
                <w:rFonts w:ascii="仿宋_GB2312" w:hAnsi="仿宋_GB2312" w:cs="仿宋_GB2312"/>
                <w:sz w:val="28"/>
                <w:szCs w:val="28"/>
              </w:rPr>
            </w:pPr>
          </w:p>
        </w:tc>
        <w:tc>
          <w:tcPr>
            <w:tcW w:w="842" w:type="dxa"/>
            <w:vAlign w:val="center"/>
          </w:tcPr>
          <w:p w14:paraId="1F6CFB29">
            <w:pPr>
              <w:spacing w:line="360" w:lineRule="exact"/>
              <w:jc w:val="center"/>
              <w:rPr>
                <w:rFonts w:ascii="仿宋_GB2312" w:hAnsi="仿宋_GB2312" w:cs="仿宋_GB2312"/>
                <w:sz w:val="28"/>
                <w:szCs w:val="28"/>
              </w:rPr>
            </w:pPr>
          </w:p>
        </w:tc>
        <w:tc>
          <w:tcPr>
            <w:tcW w:w="975" w:type="dxa"/>
            <w:vAlign w:val="center"/>
          </w:tcPr>
          <w:p w14:paraId="6600590A">
            <w:pPr>
              <w:spacing w:line="360" w:lineRule="exact"/>
              <w:jc w:val="center"/>
              <w:rPr>
                <w:rFonts w:ascii="仿宋_GB2312" w:hAnsi="仿宋_GB2312" w:cs="仿宋_GB2312"/>
                <w:sz w:val="28"/>
                <w:szCs w:val="28"/>
              </w:rPr>
            </w:pPr>
          </w:p>
        </w:tc>
      </w:tr>
      <w:tr w14:paraId="6A723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366FD9AD">
            <w:pPr>
              <w:spacing w:line="360" w:lineRule="exact"/>
              <w:jc w:val="center"/>
              <w:rPr>
                <w:rFonts w:ascii="仿宋_GB2312" w:hAnsi="仿宋_GB2312" w:cs="仿宋_GB2312"/>
                <w:sz w:val="28"/>
                <w:szCs w:val="28"/>
              </w:rPr>
            </w:pPr>
            <w:r>
              <w:rPr>
                <w:rFonts w:hint="eastAsia" w:ascii="仿宋_GB2312" w:hAnsi="仿宋_GB2312" w:cs="仿宋_GB2312"/>
                <w:sz w:val="28"/>
                <w:szCs w:val="28"/>
              </w:rPr>
              <w:t>2</w:t>
            </w:r>
          </w:p>
        </w:tc>
        <w:tc>
          <w:tcPr>
            <w:tcW w:w="5246" w:type="dxa"/>
            <w:vAlign w:val="center"/>
          </w:tcPr>
          <w:p w14:paraId="744E802F">
            <w:pPr>
              <w:spacing w:line="360" w:lineRule="exact"/>
              <w:jc w:val="center"/>
              <w:rPr>
                <w:rFonts w:ascii="仿宋_GB2312" w:hAnsi="仿宋_GB2312" w:cs="仿宋_GB2312"/>
                <w:sz w:val="28"/>
                <w:szCs w:val="28"/>
              </w:rPr>
            </w:pPr>
            <w:r>
              <w:rPr>
                <w:rFonts w:hint="eastAsia" w:ascii="仿宋_GB2312" w:hAnsi="仿宋_GB2312" w:cs="仿宋_GB2312"/>
                <w:sz w:val="28"/>
                <w:szCs w:val="28"/>
              </w:rPr>
              <w:t>客服人员态度良好、工作耐心</w:t>
            </w:r>
          </w:p>
        </w:tc>
        <w:tc>
          <w:tcPr>
            <w:tcW w:w="716" w:type="dxa"/>
            <w:vAlign w:val="center"/>
          </w:tcPr>
          <w:p w14:paraId="48F3C34B">
            <w:pPr>
              <w:spacing w:line="360" w:lineRule="exact"/>
              <w:jc w:val="center"/>
              <w:rPr>
                <w:rFonts w:ascii="仿宋_GB2312" w:hAnsi="仿宋_GB2312" w:cs="仿宋_GB2312"/>
                <w:sz w:val="28"/>
                <w:szCs w:val="28"/>
              </w:rPr>
            </w:pPr>
          </w:p>
        </w:tc>
        <w:tc>
          <w:tcPr>
            <w:tcW w:w="696" w:type="dxa"/>
            <w:vAlign w:val="center"/>
          </w:tcPr>
          <w:p w14:paraId="730EF798">
            <w:pPr>
              <w:spacing w:line="360" w:lineRule="exact"/>
              <w:jc w:val="center"/>
              <w:rPr>
                <w:rFonts w:ascii="仿宋_GB2312" w:hAnsi="仿宋_GB2312" w:cs="仿宋_GB2312"/>
                <w:sz w:val="28"/>
                <w:szCs w:val="28"/>
              </w:rPr>
            </w:pPr>
          </w:p>
        </w:tc>
        <w:tc>
          <w:tcPr>
            <w:tcW w:w="842" w:type="dxa"/>
            <w:vAlign w:val="center"/>
          </w:tcPr>
          <w:p w14:paraId="090BE47E">
            <w:pPr>
              <w:spacing w:line="360" w:lineRule="exact"/>
              <w:jc w:val="center"/>
              <w:rPr>
                <w:rFonts w:ascii="仿宋_GB2312" w:hAnsi="仿宋_GB2312" w:cs="仿宋_GB2312"/>
                <w:sz w:val="28"/>
                <w:szCs w:val="28"/>
              </w:rPr>
            </w:pPr>
          </w:p>
        </w:tc>
        <w:tc>
          <w:tcPr>
            <w:tcW w:w="975" w:type="dxa"/>
            <w:vAlign w:val="center"/>
          </w:tcPr>
          <w:p w14:paraId="343B011D">
            <w:pPr>
              <w:spacing w:line="360" w:lineRule="exact"/>
              <w:jc w:val="center"/>
              <w:rPr>
                <w:rFonts w:ascii="仿宋_GB2312" w:hAnsi="仿宋_GB2312" w:cs="仿宋_GB2312"/>
                <w:sz w:val="28"/>
                <w:szCs w:val="28"/>
              </w:rPr>
            </w:pPr>
          </w:p>
        </w:tc>
      </w:tr>
      <w:tr w14:paraId="4E85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jc w:val="center"/>
        </w:trPr>
        <w:tc>
          <w:tcPr>
            <w:tcW w:w="731" w:type="dxa"/>
            <w:vAlign w:val="center"/>
          </w:tcPr>
          <w:p w14:paraId="4E2E754C">
            <w:pPr>
              <w:spacing w:line="360" w:lineRule="exact"/>
              <w:jc w:val="center"/>
              <w:rPr>
                <w:rFonts w:ascii="仿宋_GB2312" w:hAnsi="仿宋_GB2312" w:cs="仿宋_GB2312"/>
                <w:sz w:val="28"/>
                <w:szCs w:val="28"/>
              </w:rPr>
            </w:pPr>
            <w:r>
              <w:rPr>
                <w:rFonts w:hint="eastAsia" w:ascii="仿宋_GB2312" w:hAnsi="仿宋_GB2312" w:cs="仿宋_GB2312"/>
                <w:sz w:val="28"/>
                <w:szCs w:val="28"/>
              </w:rPr>
              <w:t>3</w:t>
            </w:r>
          </w:p>
        </w:tc>
        <w:tc>
          <w:tcPr>
            <w:tcW w:w="5246" w:type="dxa"/>
            <w:vAlign w:val="center"/>
          </w:tcPr>
          <w:p w14:paraId="618CFE8E">
            <w:pPr>
              <w:spacing w:line="360" w:lineRule="exact"/>
              <w:jc w:val="center"/>
              <w:rPr>
                <w:rFonts w:ascii="仿宋_GB2312" w:hAnsi="仿宋_GB2312" w:cs="仿宋_GB2312"/>
                <w:sz w:val="28"/>
                <w:szCs w:val="28"/>
              </w:rPr>
            </w:pPr>
            <w:r>
              <w:rPr>
                <w:rFonts w:hint="eastAsia" w:ascii="仿宋_GB2312" w:hAnsi="仿宋_GB2312" w:cs="仿宋_GB2312"/>
                <w:sz w:val="28"/>
                <w:szCs w:val="28"/>
              </w:rPr>
              <w:t>按要求维护保养电梯，没有因物业服务企业原因导致的运行异常</w:t>
            </w:r>
          </w:p>
        </w:tc>
        <w:tc>
          <w:tcPr>
            <w:tcW w:w="716" w:type="dxa"/>
            <w:vAlign w:val="center"/>
          </w:tcPr>
          <w:p w14:paraId="59B81C78">
            <w:pPr>
              <w:spacing w:line="360" w:lineRule="exact"/>
              <w:jc w:val="center"/>
              <w:rPr>
                <w:rFonts w:ascii="仿宋_GB2312" w:hAnsi="仿宋_GB2312" w:cs="仿宋_GB2312"/>
                <w:sz w:val="28"/>
                <w:szCs w:val="28"/>
              </w:rPr>
            </w:pPr>
          </w:p>
        </w:tc>
        <w:tc>
          <w:tcPr>
            <w:tcW w:w="696" w:type="dxa"/>
            <w:vAlign w:val="center"/>
          </w:tcPr>
          <w:p w14:paraId="2E599415">
            <w:pPr>
              <w:spacing w:line="360" w:lineRule="exact"/>
              <w:jc w:val="center"/>
              <w:rPr>
                <w:rFonts w:ascii="仿宋_GB2312" w:hAnsi="仿宋_GB2312" w:cs="仿宋_GB2312"/>
                <w:sz w:val="28"/>
                <w:szCs w:val="28"/>
              </w:rPr>
            </w:pPr>
          </w:p>
        </w:tc>
        <w:tc>
          <w:tcPr>
            <w:tcW w:w="842" w:type="dxa"/>
            <w:vAlign w:val="center"/>
          </w:tcPr>
          <w:p w14:paraId="28892187">
            <w:pPr>
              <w:spacing w:line="360" w:lineRule="exact"/>
              <w:jc w:val="center"/>
              <w:rPr>
                <w:rFonts w:ascii="仿宋_GB2312" w:hAnsi="仿宋_GB2312" w:cs="仿宋_GB2312"/>
                <w:sz w:val="28"/>
                <w:szCs w:val="28"/>
              </w:rPr>
            </w:pPr>
          </w:p>
        </w:tc>
        <w:tc>
          <w:tcPr>
            <w:tcW w:w="975" w:type="dxa"/>
            <w:vAlign w:val="center"/>
          </w:tcPr>
          <w:p w14:paraId="7CBA0EA6">
            <w:pPr>
              <w:spacing w:line="360" w:lineRule="exact"/>
              <w:jc w:val="center"/>
              <w:rPr>
                <w:rFonts w:ascii="仿宋_GB2312" w:hAnsi="仿宋_GB2312" w:cs="仿宋_GB2312"/>
                <w:sz w:val="28"/>
                <w:szCs w:val="28"/>
              </w:rPr>
            </w:pPr>
          </w:p>
        </w:tc>
      </w:tr>
      <w:tr w14:paraId="779AA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31" w:type="dxa"/>
            <w:vAlign w:val="center"/>
          </w:tcPr>
          <w:p w14:paraId="0CCFBCE1">
            <w:pPr>
              <w:spacing w:line="360" w:lineRule="exact"/>
              <w:jc w:val="center"/>
              <w:rPr>
                <w:rFonts w:ascii="仿宋_GB2312" w:hAnsi="仿宋_GB2312" w:cs="仿宋_GB2312"/>
                <w:sz w:val="28"/>
                <w:szCs w:val="28"/>
              </w:rPr>
            </w:pPr>
            <w:r>
              <w:rPr>
                <w:rFonts w:hint="eastAsia" w:ascii="仿宋_GB2312" w:hAnsi="仿宋_GB2312" w:cs="仿宋_GB2312"/>
                <w:sz w:val="28"/>
                <w:szCs w:val="28"/>
              </w:rPr>
              <w:t>4</w:t>
            </w:r>
          </w:p>
        </w:tc>
        <w:tc>
          <w:tcPr>
            <w:tcW w:w="5246" w:type="dxa"/>
            <w:vAlign w:val="center"/>
          </w:tcPr>
          <w:p w14:paraId="11E8B92C">
            <w:pPr>
              <w:spacing w:line="360" w:lineRule="exact"/>
              <w:jc w:val="center"/>
              <w:rPr>
                <w:rFonts w:ascii="仿宋_GB2312" w:hAnsi="仿宋_GB2312" w:cs="仿宋_GB2312"/>
                <w:sz w:val="28"/>
                <w:szCs w:val="28"/>
              </w:rPr>
            </w:pPr>
            <w:r>
              <w:rPr>
                <w:rFonts w:hint="eastAsia" w:ascii="仿宋_GB2312" w:hAnsi="仿宋_GB2312" w:cs="仿宋_GB2312"/>
                <w:sz w:val="28"/>
                <w:szCs w:val="28"/>
              </w:rPr>
              <w:t>按要求维护保养消防设施设备没有因物业服务企业原因导致的运行异常</w:t>
            </w:r>
          </w:p>
        </w:tc>
        <w:tc>
          <w:tcPr>
            <w:tcW w:w="716" w:type="dxa"/>
            <w:vAlign w:val="center"/>
          </w:tcPr>
          <w:p w14:paraId="789D9479">
            <w:pPr>
              <w:spacing w:line="360" w:lineRule="exact"/>
              <w:jc w:val="center"/>
              <w:rPr>
                <w:rFonts w:ascii="仿宋_GB2312" w:hAnsi="仿宋_GB2312" w:cs="仿宋_GB2312"/>
                <w:sz w:val="28"/>
                <w:szCs w:val="28"/>
              </w:rPr>
            </w:pPr>
          </w:p>
        </w:tc>
        <w:tc>
          <w:tcPr>
            <w:tcW w:w="696" w:type="dxa"/>
            <w:vAlign w:val="center"/>
          </w:tcPr>
          <w:p w14:paraId="027F0D15">
            <w:pPr>
              <w:spacing w:line="360" w:lineRule="exact"/>
              <w:jc w:val="center"/>
              <w:rPr>
                <w:rFonts w:ascii="仿宋_GB2312" w:hAnsi="仿宋_GB2312" w:cs="仿宋_GB2312"/>
                <w:sz w:val="28"/>
                <w:szCs w:val="28"/>
              </w:rPr>
            </w:pPr>
          </w:p>
        </w:tc>
        <w:tc>
          <w:tcPr>
            <w:tcW w:w="842" w:type="dxa"/>
            <w:vAlign w:val="center"/>
          </w:tcPr>
          <w:p w14:paraId="3F95428E">
            <w:pPr>
              <w:spacing w:line="360" w:lineRule="exact"/>
              <w:jc w:val="center"/>
              <w:rPr>
                <w:rFonts w:ascii="仿宋_GB2312" w:hAnsi="仿宋_GB2312" w:cs="仿宋_GB2312"/>
                <w:sz w:val="28"/>
                <w:szCs w:val="28"/>
              </w:rPr>
            </w:pPr>
          </w:p>
        </w:tc>
        <w:tc>
          <w:tcPr>
            <w:tcW w:w="975" w:type="dxa"/>
            <w:vAlign w:val="center"/>
          </w:tcPr>
          <w:p w14:paraId="5A4118EA">
            <w:pPr>
              <w:spacing w:line="360" w:lineRule="exact"/>
              <w:jc w:val="center"/>
              <w:rPr>
                <w:rFonts w:ascii="仿宋_GB2312" w:hAnsi="仿宋_GB2312" w:cs="仿宋_GB2312"/>
                <w:sz w:val="28"/>
                <w:szCs w:val="28"/>
              </w:rPr>
            </w:pPr>
          </w:p>
        </w:tc>
      </w:tr>
      <w:tr w14:paraId="79830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44FCA39C">
            <w:pPr>
              <w:spacing w:line="360" w:lineRule="exact"/>
              <w:jc w:val="center"/>
              <w:rPr>
                <w:rFonts w:ascii="仿宋_GB2312" w:hAnsi="仿宋_GB2312" w:cs="仿宋_GB2312"/>
                <w:sz w:val="28"/>
                <w:szCs w:val="28"/>
              </w:rPr>
            </w:pPr>
            <w:r>
              <w:rPr>
                <w:rFonts w:hint="eastAsia" w:ascii="仿宋_GB2312" w:hAnsi="仿宋_GB2312" w:cs="仿宋_GB2312"/>
                <w:sz w:val="28"/>
                <w:szCs w:val="28"/>
              </w:rPr>
              <w:t>5</w:t>
            </w:r>
          </w:p>
        </w:tc>
        <w:tc>
          <w:tcPr>
            <w:tcW w:w="5246" w:type="dxa"/>
            <w:vAlign w:val="center"/>
          </w:tcPr>
          <w:p w14:paraId="0C0DD23E">
            <w:pPr>
              <w:spacing w:line="360" w:lineRule="exact"/>
              <w:jc w:val="center"/>
              <w:rPr>
                <w:rFonts w:ascii="仿宋_GB2312" w:hAnsi="仿宋_GB2312" w:cs="仿宋_GB2312"/>
                <w:sz w:val="28"/>
                <w:szCs w:val="28"/>
              </w:rPr>
            </w:pPr>
            <w:r>
              <w:rPr>
                <w:rFonts w:hint="eastAsia" w:ascii="仿宋_GB2312" w:hAnsi="仿宋_GB2312" w:cs="仿宋_GB2312"/>
                <w:sz w:val="28"/>
                <w:szCs w:val="28"/>
              </w:rPr>
              <w:t>照明设施功能完好</w:t>
            </w:r>
          </w:p>
        </w:tc>
        <w:tc>
          <w:tcPr>
            <w:tcW w:w="716" w:type="dxa"/>
            <w:vAlign w:val="center"/>
          </w:tcPr>
          <w:p w14:paraId="1A98149E">
            <w:pPr>
              <w:spacing w:line="360" w:lineRule="exact"/>
              <w:jc w:val="center"/>
              <w:rPr>
                <w:rFonts w:ascii="仿宋_GB2312" w:hAnsi="仿宋_GB2312" w:cs="仿宋_GB2312"/>
                <w:sz w:val="28"/>
                <w:szCs w:val="28"/>
              </w:rPr>
            </w:pPr>
          </w:p>
        </w:tc>
        <w:tc>
          <w:tcPr>
            <w:tcW w:w="696" w:type="dxa"/>
            <w:vAlign w:val="center"/>
          </w:tcPr>
          <w:p w14:paraId="7EEB9AD1">
            <w:pPr>
              <w:spacing w:line="360" w:lineRule="exact"/>
              <w:jc w:val="center"/>
              <w:rPr>
                <w:rFonts w:ascii="仿宋_GB2312" w:hAnsi="仿宋_GB2312" w:cs="仿宋_GB2312"/>
                <w:sz w:val="28"/>
                <w:szCs w:val="28"/>
              </w:rPr>
            </w:pPr>
          </w:p>
        </w:tc>
        <w:tc>
          <w:tcPr>
            <w:tcW w:w="842" w:type="dxa"/>
            <w:vAlign w:val="center"/>
          </w:tcPr>
          <w:p w14:paraId="758C6D17">
            <w:pPr>
              <w:spacing w:line="360" w:lineRule="exact"/>
              <w:jc w:val="center"/>
              <w:rPr>
                <w:rFonts w:ascii="仿宋_GB2312" w:hAnsi="仿宋_GB2312" w:cs="仿宋_GB2312"/>
                <w:sz w:val="28"/>
                <w:szCs w:val="28"/>
              </w:rPr>
            </w:pPr>
          </w:p>
        </w:tc>
        <w:tc>
          <w:tcPr>
            <w:tcW w:w="975" w:type="dxa"/>
            <w:vAlign w:val="center"/>
          </w:tcPr>
          <w:p w14:paraId="24B42196">
            <w:pPr>
              <w:spacing w:line="360" w:lineRule="exact"/>
              <w:jc w:val="center"/>
              <w:rPr>
                <w:rFonts w:ascii="仿宋_GB2312" w:hAnsi="仿宋_GB2312" w:cs="仿宋_GB2312"/>
                <w:sz w:val="28"/>
                <w:szCs w:val="28"/>
              </w:rPr>
            </w:pPr>
          </w:p>
        </w:tc>
      </w:tr>
      <w:tr w14:paraId="1DEC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58636158">
            <w:pPr>
              <w:spacing w:line="360" w:lineRule="exact"/>
              <w:jc w:val="center"/>
              <w:rPr>
                <w:rFonts w:ascii="仿宋_GB2312" w:hAnsi="仿宋_GB2312" w:cs="仿宋_GB2312"/>
                <w:sz w:val="28"/>
                <w:szCs w:val="28"/>
              </w:rPr>
            </w:pPr>
            <w:r>
              <w:rPr>
                <w:rFonts w:hint="eastAsia" w:ascii="仿宋_GB2312" w:hAnsi="仿宋_GB2312" w:cs="仿宋_GB2312"/>
                <w:sz w:val="28"/>
                <w:szCs w:val="28"/>
              </w:rPr>
              <w:t>6</w:t>
            </w:r>
          </w:p>
        </w:tc>
        <w:tc>
          <w:tcPr>
            <w:tcW w:w="5246" w:type="dxa"/>
            <w:vAlign w:val="center"/>
          </w:tcPr>
          <w:p w14:paraId="2F2F349D">
            <w:pPr>
              <w:spacing w:line="360" w:lineRule="exact"/>
              <w:jc w:val="center"/>
              <w:rPr>
                <w:rFonts w:ascii="仿宋_GB2312" w:hAnsi="仿宋_GB2312" w:cs="仿宋_GB2312"/>
                <w:sz w:val="28"/>
                <w:szCs w:val="28"/>
              </w:rPr>
            </w:pPr>
            <w:r>
              <w:rPr>
                <w:rFonts w:hint="eastAsia" w:ascii="仿宋_GB2312" w:hAnsi="仿宋_GB2312" w:cs="仿宋_GB2312"/>
                <w:sz w:val="28"/>
                <w:szCs w:val="28"/>
              </w:rPr>
              <w:t>安全秩序管理维护到位</w:t>
            </w:r>
          </w:p>
        </w:tc>
        <w:tc>
          <w:tcPr>
            <w:tcW w:w="716" w:type="dxa"/>
            <w:vAlign w:val="center"/>
          </w:tcPr>
          <w:p w14:paraId="5FD90E2E">
            <w:pPr>
              <w:spacing w:line="360" w:lineRule="exact"/>
              <w:jc w:val="center"/>
              <w:rPr>
                <w:rFonts w:ascii="仿宋_GB2312" w:hAnsi="仿宋_GB2312" w:cs="仿宋_GB2312"/>
                <w:sz w:val="28"/>
                <w:szCs w:val="28"/>
              </w:rPr>
            </w:pPr>
          </w:p>
        </w:tc>
        <w:tc>
          <w:tcPr>
            <w:tcW w:w="696" w:type="dxa"/>
            <w:vAlign w:val="center"/>
          </w:tcPr>
          <w:p w14:paraId="667D8423">
            <w:pPr>
              <w:spacing w:line="360" w:lineRule="exact"/>
              <w:jc w:val="center"/>
              <w:rPr>
                <w:rFonts w:ascii="仿宋_GB2312" w:hAnsi="仿宋_GB2312" w:cs="仿宋_GB2312"/>
                <w:sz w:val="28"/>
                <w:szCs w:val="28"/>
              </w:rPr>
            </w:pPr>
          </w:p>
        </w:tc>
        <w:tc>
          <w:tcPr>
            <w:tcW w:w="842" w:type="dxa"/>
            <w:vAlign w:val="center"/>
          </w:tcPr>
          <w:p w14:paraId="3ECA19A8">
            <w:pPr>
              <w:spacing w:line="360" w:lineRule="exact"/>
              <w:jc w:val="center"/>
              <w:rPr>
                <w:rFonts w:ascii="仿宋_GB2312" w:hAnsi="仿宋_GB2312" w:cs="仿宋_GB2312"/>
                <w:sz w:val="28"/>
                <w:szCs w:val="28"/>
              </w:rPr>
            </w:pPr>
          </w:p>
        </w:tc>
        <w:tc>
          <w:tcPr>
            <w:tcW w:w="975" w:type="dxa"/>
            <w:vAlign w:val="center"/>
          </w:tcPr>
          <w:p w14:paraId="7D836DBE">
            <w:pPr>
              <w:spacing w:line="360" w:lineRule="exact"/>
              <w:jc w:val="center"/>
              <w:rPr>
                <w:rFonts w:ascii="仿宋_GB2312" w:hAnsi="仿宋_GB2312" w:cs="仿宋_GB2312"/>
                <w:sz w:val="28"/>
                <w:szCs w:val="28"/>
              </w:rPr>
            </w:pPr>
          </w:p>
        </w:tc>
      </w:tr>
      <w:tr w14:paraId="18412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731" w:type="dxa"/>
            <w:vAlign w:val="center"/>
          </w:tcPr>
          <w:p w14:paraId="2B62D2B2">
            <w:pPr>
              <w:spacing w:line="360" w:lineRule="exact"/>
              <w:jc w:val="center"/>
              <w:rPr>
                <w:rFonts w:ascii="仿宋_GB2312" w:hAnsi="仿宋_GB2312" w:cs="仿宋_GB2312"/>
                <w:sz w:val="28"/>
                <w:szCs w:val="28"/>
              </w:rPr>
            </w:pPr>
            <w:r>
              <w:rPr>
                <w:rFonts w:hint="eastAsia" w:ascii="仿宋_GB2312" w:hAnsi="仿宋_GB2312" w:cs="仿宋_GB2312"/>
                <w:sz w:val="28"/>
                <w:szCs w:val="28"/>
              </w:rPr>
              <w:t>7</w:t>
            </w:r>
          </w:p>
        </w:tc>
        <w:tc>
          <w:tcPr>
            <w:tcW w:w="5246" w:type="dxa"/>
            <w:vAlign w:val="center"/>
          </w:tcPr>
          <w:p w14:paraId="2440DF7B">
            <w:pPr>
              <w:spacing w:line="360" w:lineRule="exact"/>
              <w:jc w:val="center"/>
              <w:rPr>
                <w:rFonts w:ascii="仿宋_GB2312" w:hAnsi="仿宋_GB2312" w:cs="仿宋_GB2312"/>
                <w:sz w:val="28"/>
                <w:szCs w:val="28"/>
              </w:rPr>
            </w:pPr>
            <w:r>
              <w:rPr>
                <w:rFonts w:hint="eastAsia" w:ascii="仿宋_GB2312" w:hAnsi="仿宋_GB2312" w:cs="仿宋_GB2312"/>
                <w:sz w:val="28"/>
                <w:szCs w:val="28"/>
              </w:rPr>
              <w:t>装饰装修管理服务到位，没有因物业服务企业原因导致的安全隐患</w:t>
            </w:r>
          </w:p>
        </w:tc>
        <w:tc>
          <w:tcPr>
            <w:tcW w:w="716" w:type="dxa"/>
            <w:vAlign w:val="center"/>
          </w:tcPr>
          <w:p w14:paraId="3057EEEE">
            <w:pPr>
              <w:spacing w:line="360" w:lineRule="exact"/>
              <w:jc w:val="center"/>
              <w:rPr>
                <w:rFonts w:ascii="仿宋_GB2312" w:hAnsi="仿宋_GB2312" w:cs="仿宋_GB2312"/>
                <w:sz w:val="28"/>
                <w:szCs w:val="28"/>
              </w:rPr>
            </w:pPr>
          </w:p>
        </w:tc>
        <w:tc>
          <w:tcPr>
            <w:tcW w:w="696" w:type="dxa"/>
            <w:vAlign w:val="center"/>
          </w:tcPr>
          <w:p w14:paraId="08EAFA11">
            <w:pPr>
              <w:spacing w:line="360" w:lineRule="exact"/>
              <w:jc w:val="center"/>
              <w:rPr>
                <w:rFonts w:ascii="仿宋_GB2312" w:hAnsi="仿宋_GB2312" w:cs="仿宋_GB2312"/>
                <w:sz w:val="28"/>
                <w:szCs w:val="28"/>
              </w:rPr>
            </w:pPr>
          </w:p>
        </w:tc>
        <w:tc>
          <w:tcPr>
            <w:tcW w:w="842" w:type="dxa"/>
            <w:vAlign w:val="center"/>
          </w:tcPr>
          <w:p w14:paraId="7AC74EDE">
            <w:pPr>
              <w:spacing w:line="360" w:lineRule="exact"/>
              <w:jc w:val="center"/>
              <w:rPr>
                <w:rFonts w:ascii="仿宋_GB2312" w:hAnsi="仿宋_GB2312" w:cs="仿宋_GB2312"/>
                <w:sz w:val="28"/>
                <w:szCs w:val="28"/>
              </w:rPr>
            </w:pPr>
          </w:p>
        </w:tc>
        <w:tc>
          <w:tcPr>
            <w:tcW w:w="975" w:type="dxa"/>
            <w:vAlign w:val="center"/>
          </w:tcPr>
          <w:p w14:paraId="76B24ACC">
            <w:pPr>
              <w:spacing w:line="360" w:lineRule="exact"/>
              <w:jc w:val="center"/>
              <w:rPr>
                <w:rFonts w:ascii="仿宋_GB2312" w:hAnsi="仿宋_GB2312" w:cs="仿宋_GB2312"/>
                <w:sz w:val="28"/>
                <w:szCs w:val="28"/>
              </w:rPr>
            </w:pPr>
          </w:p>
        </w:tc>
      </w:tr>
      <w:tr w14:paraId="7D8C4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731" w:type="dxa"/>
            <w:vAlign w:val="center"/>
          </w:tcPr>
          <w:p w14:paraId="597234BC">
            <w:pPr>
              <w:spacing w:line="360" w:lineRule="exact"/>
              <w:jc w:val="center"/>
              <w:rPr>
                <w:rFonts w:ascii="仿宋_GB2312" w:hAnsi="仿宋_GB2312" w:cs="仿宋_GB2312"/>
                <w:sz w:val="28"/>
                <w:szCs w:val="28"/>
              </w:rPr>
            </w:pPr>
            <w:r>
              <w:rPr>
                <w:rFonts w:hint="eastAsia" w:ascii="仿宋_GB2312" w:hAnsi="仿宋_GB2312" w:cs="仿宋_GB2312"/>
                <w:sz w:val="28"/>
                <w:szCs w:val="28"/>
              </w:rPr>
              <w:t>8</w:t>
            </w:r>
          </w:p>
        </w:tc>
        <w:tc>
          <w:tcPr>
            <w:tcW w:w="5246" w:type="dxa"/>
            <w:vAlign w:val="center"/>
          </w:tcPr>
          <w:p w14:paraId="03830E07">
            <w:pPr>
              <w:spacing w:line="360" w:lineRule="exact"/>
              <w:jc w:val="center"/>
              <w:rPr>
                <w:rFonts w:ascii="仿宋_GB2312" w:hAnsi="仿宋_GB2312" w:cs="仿宋_GB2312"/>
                <w:sz w:val="28"/>
                <w:szCs w:val="28"/>
              </w:rPr>
            </w:pPr>
            <w:r>
              <w:rPr>
                <w:rFonts w:hint="eastAsia" w:ascii="仿宋_GB2312" w:hAnsi="仿宋_GB2312" w:cs="仿宋_GB2312"/>
                <w:sz w:val="28"/>
                <w:szCs w:val="28"/>
              </w:rPr>
              <w:t>汽车停放有序(业主不听从引导违规停放、充电等不属物业服务企业责任)</w:t>
            </w:r>
          </w:p>
        </w:tc>
        <w:tc>
          <w:tcPr>
            <w:tcW w:w="716" w:type="dxa"/>
            <w:vAlign w:val="center"/>
          </w:tcPr>
          <w:p w14:paraId="3CD1FB72">
            <w:pPr>
              <w:spacing w:line="360" w:lineRule="exact"/>
              <w:jc w:val="center"/>
              <w:rPr>
                <w:rFonts w:ascii="仿宋_GB2312" w:hAnsi="仿宋_GB2312" w:cs="仿宋_GB2312"/>
                <w:sz w:val="28"/>
                <w:szCs w:val="28"/>
              </w:rPr>
            </w:pPr>
          </w:p>
        </w:tc>
        <w:tc>
          <w:tcPr>
            <w:tcW w:w="696" w:type="dxa"/>
            <w:vAlign w:val="center"/>
          </w:tcPr>
          <w:p w14:paraId="3FDE9F49">
            <w:pPr>
              <w:spacing w:line="360" w:lineRule="exact"/>
              <w:jc w:val="center"/>
              <w:rPr>
                <w:rFonts w:ascii="仿宋_GB2312" w:hAnsi="仿宋_GB2312" w:cs="仿宋_GB2312"/>
                <w:sz w:val="28"/>
                <w:szCs w:val="28"/>
              </w:rPr>
            </w:pPr>
          </w:p>
        </w:tc>
        <w:tc>
          <w:tcPr>
            <w:tcW w:w="842" w:type="dxa"/>
            <w:vAlign w:val="center"/>
          </w:tcPr>
          <w:p w14:paraId="5802594A">
            <w:pPr>
              <w:spacing w:line="360" w:lineRule="exact"/>
              <w:jc w:val="center"/>
              <w:rPr>
                <w:rFonts w:ascii="仿宋_GB2312" w:hAnsi="仿宋_GB2312" w:cs="仿宋_GB2312"/>
                <w:sz w:val="28"/>
                <w:szCs w:val="28"/>
              </w:rPr>
            </w:pPr>
          </w:p>
        </w:tc>
        <w:tc>
          <w:tcPr>
            <w:tcW w:w="975" w:type="dxa"/>
            <w:vAlign w:val="center"/>
          </w:tcPr>
          <w:p w14:paraId="2A0E2A88">
            <w:pPr>
              <w:spacing w:line="360" w:lineRule="exact"/>
              <w:jc w:val="center"/>
              <w:rPr>
                <w:rFonts w:ascii="仿宋_GB2312" w:hAnsi="仿宋_GB2312" w:cs="仿宋_GB2312"/>
                <w:sz w:val="28"/>
                <w:szCs w:val="28"/>
              </w:rPr>
            </w:pPr>
          </w:p>
        </w:tc>
      </w:tr>
      <w:tr w14:paraId="1A13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0" w:hRule="atLeast"/>
          <w:jc w:val="center"/>
        </w:trPr>
        <w:tc>
          <w:tcPr>
            <w:tcW w:w="731" w:type="dxa"/>
            <w:vAlign w:val="center"/>
          </w:tcPr>
          <w:p w14:paraId="28839BF0">
            <w:pPr>
              <w:spacing w:line="360" w:lineRule="exact"/>
              <w:jc w:val="center"/>
              <w:rPr>
                <w:rFonts w:ascii="仿宋_GB2312" w:hAnsi="仿宋_GB2312" w:cs="仿宋_GB2312"/>
                <w:sz w:val="28"/>
                <w:szCs w:val="28"/>
              </w:rPr>
            </w:pPr>
            <w:r>
              <w:rPr>
                <w:rFonts w:hint="eastAsia" w:ascii="仿宋_GB2312" w:hAnsi="仿宋_GB2312" w:cs="仿宋_GB2312"/>
                <w:sz w:val="28"/>
                <w:szCs w:val="28"/>
              </w:rPr>
              <w:t>9</w:t>
            </w:r>
          </w:p>
        </w:tc>
        <w:tc>
          <w:tcPr>
            <w:tcW w:w="5246" w:type="dxa"/>
            <w:vAlign w:val="center"/>
          </w:tcPr>
          <w:p w14:paraId="09CDA52F">
            <w:pPr>
              <w:spacing w:line="360" w:lineRule="exact"/>
              <w:jc w:val="center"/>
              <w:rPr>
                <w:rFonts w:ascii="仿宋_GB2312" w:hAnsi="仿宋_GB2312" w:cs="仿宋_GB2312"/>
                <w:sz w:val="28"/>
                <w:szCs w:val="28"/>
              </w:rPr>
            </w:pPr>
            <w:r>
              <w:rPr>
                <w:rFonts w:hint="eastAsia" w:ascii="仿宋_GB2312" w:hAnsi="仿宋_GB2312" w:cs="仿宋_GB2312"/>
                <w:sz w:val="28"/>
                <w:szCs w:val="28"/>
              </w:rPr>
              <w:t>电动自行车管理服务到位(业主不听从引导，违规停放、充电等不属物业服务企业责任)</w:t>
            </w:r>
          </w:p>
        </w:tc>
        <w:tc>
          <w:tcPr>
            <w:tcW w:w="716" w:type="dxa"/>
            <w:vAlign w:val="center"/>
          </w:tcPr>
          <w:p w14:paraId="436537E9">
            <w:pPr>
              <w:spacing w:line="360" w:lineRule="exact"/>
              <w:jc w:val="center"/>
              <w:rPr>
                <w:rFonts w:ascii="仿宋_GB2312" w:hAnsi="仿宋_GB2312" w:cs="仿宋_GB2312"/>
                <w:sz w:val="28"/>
                <w:szCs w:val="28"/>
              </w:rPr>
            </w:pPr>
          </w:p>
        </w:tc>
        <w:tc>
          <w:tcPr>
            <w:tcW w:w="696" w:type="dxa"/>
            <w:vAlign w:val="center"/>
          </w:tcPr>
          <w:p w14:paraId="20412F9C">
            <w:pPr>
              <w:spacing w:line="360" w:lineRule="exact"/>
              <w:jc w:val="center"/>
              <w:rPr>
                <w:rFonts w:ascii="仿宋_GB2312" w:hAnsi="仿宋_GB2312" w:cs="仿宋_GB2312"/>
                <w:sz w:val="28"/>
                <w:szCs w:val="28"/>
              </w:rPr>
            </w:pPr>
          </w:p>
        </w:tc>
        <w:tc>
          <w:tcPr>
            <w:tcW w:w="842" w:type="dxa"/>
            <w:vAlign w:val="center"/>
          </w:tcPr>
          <w:p w14:paraId="4080EE57">
            <w:pPr>
              <w:spacing w:line="360" w:lineRule="exact"/>
              <w:jc w:val="center"/>
              <w:rPr>
                <w:rFonts w:ascii="仿宋_GB2312" w:hAnsi="仿宋_GB2312" w:cs="仿宋_GB2312"/>
                <w:sz w:val="28"/>
                <w:szCs w:val="28"/>
              </w:rPr>
            </w:pPr>
          </w:p>
        </w:tc>
        <w:tc>
          <w:tcPr>
            <w:tcW w:w="975" w:type="dxa"/>
            <w:vAlign w:val="center"/>
          </w:tcPr>
          <w:p w14:paraId="46D44AAE">
            <w:pPr>
              <w:spacing w:line="360" w:lineRule="exact"/>
              <w:jc w:val="center"/>
              <w:rPr>
                <w:rFonts w:ascii="仿宋_GB2312" w:hAnsi="仿宋_GB2312" w:cs="仿宋_GB2312"/>
                <w:sz w:val="28"/>
                <w:szCs w:val="28"/>
              </w:rPr>
            </w:pPr>
          </w:p>
        </w:tc>
      </w:tr>
      <w:tr w14:paraId="7DC9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790ECAF6">
            <w:pPr>
              <w:spacing w:line="360" w:lineRule="exact"/>
              <w:jc w:val="center"/>
              <w:rPr>
                <w:rFonts w:ascii="仿宋_GB2312" w:hAnsi="仿宋_GB2312" w:cs="仿宋_GB2312"/>
                <w:sz w:val="28"/>
                <w:szCs w:val="28"/>
              </w:rPr>
            </w:pPr>
            <w:r>
              <w:rPr>
                <w:rFonts w:hint="eastAsia" w:ascii="仿宋_GB2312" w:hAnsi="仿宋_GB2312" w:cs="仿宋_GB2312"/>
                <w:sz w:val="28"/>
                <w:szCs w:val="28"/>
              </w:rPr>
              <w:t>10</w:t>
            </w:r>
          </w:p>
        </w:tc>
        <w:tc>
          <w:tcPr>
            <w:tcW w:w="5246" w:type="dxa"/>
            <w:vAlign w:val="center"/>
          </w:tcPr>
          <w:p w14:paraId="02D41C0F">
            <w:pPr>
              <w:spacing w:line="360" w:lineRule="exact"/>
              <w:jc w:val="center"/>
              <w:rPr>
                <w:rFonts w:ascii="仿宋_GB2312" w:hAnsi="仿宋_GB2312" w:cs="仿宋_GB2312"/>
                <w:sz w:val="28"/>
                <w:szCs w:val="28"/>
              </w:rPr>
            </w:pPr>
            <w:r>
              <w:rPr>
                <w:rFonts w:hint="eastAsia" w:ascii="仿宋_GB2312" w:hAnsi="仿宋_GB2312" w:cs="仿宋_GB2312"/>
                <w:sz w:val="28"/>
                <w:szCs w:val="28"/>
              </w:rPr>
              <w:t>分类收集生活垃圾</w:t>
            </w:r>
          </w:p>
        </w:tc>
        <w:tc>
          <w:tcPr>
            <w:tcW w:w="716" w:type="dxa"/>
            <w:vAlign w:val="center"/>
          </w:tcPr>
          <w:p w14:paraId="7824E392">
            <w:pPr>
              <w:spacing w:line="360" w:lineRule="exact"/>
              <w:jc w:val="center"/>
              <w:rPr>
                <w:rFonts w:ascii="仿宋_GB2312" w:hAnsi="仿宋_GB2312" w:cs="仿宋_GB2312"/>
                <w:sz w:val="28"/>
                <w:szCs w:val="28"/>
              </w:rPr>
            </w:pPr>
          </w:p>
        </w:tc>
        <w:tc>
          <w:tcPr>
            <w:tcW w:w="696" w:type="dxa"/>
            <w:vAlign w:val="center"/>
          </w:tcPr>
          <w:p w14:paraId="01770B9B">
            <w:pPr>
              <w:spacing w:line="360" w:lineRule="exact"/>
              <w:jc w:val="center"/>
              <w:rPr>
                <w:rFonts w:ascii="仿宋_GB2312" w:hAnsi="仿宋_GB2312" w:cs="仿宋_GB2312"/>
                <w:sz w:val="28"/>
                <w:szCs w:val="28"/>
              </w:rPr>
            </w:pPr>
          </w:p>
        </w:tc>
        <w:tc>
          <w:tcPr>
            <w:tcW w:w="842" w:type="dxa"/>
            <w:vAlign w:val="center"/>
          </w:tcPr>
          <w:p w14:paraId="5B02D47A">
            <w:pPr>
              <w:spacing w:line="360" w:lineRule="exact"/>
              <w:jc w:val="center"/>
              <w:rPr>
                <w:rFonts w:ascii="仿宋_GB2312" w:hAnsi="仿宋_GB2312" w:cs="仿宋_GB2312"/>
                <w:sz w:val="28"/>
                <w:szCs w:val="28"/>
              </w:rPr>
            </w:pPr>
          </w:p>
        </w:tc>
        <w:tc>
          <w:tcPr>
            <w:tcW w:w="975" w:type="dxa"/>
            <w:vAlign w:val="center"/>
          </w:tcPr>
          <w:p w14:paraId="5E40F1B6">
            <w:pPr>
              <w:spacing w:line="360" w:lineRule="exact"/>
              <w:jc w:val="center"/>
              <w:rPr>
                <w:rFonts w:ascii="仿宋_GB2312" w:hAnsi="仿宋_GB2312" w:cs="仿宋_GB2312"/>
                <w:sz w:val="28"/>
                <w:szCs w:val="28"/>
              </w:rPr>
            </w:pPr>
          </w:p>
        </w:tc>
      </w:tr>
      <w:tr w14:paraId="01AAF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4E64D4CA">
            <w:pPr>
              <w:spacing w:line="360" w:lineRule="exact"/>
              <w:jc w:val="center"/>
              <w:rPr>
                <w:rFonts w:ascii="仿宋_GB2312" w:hAnsi="仿宋_GB2312" w:cs="仿宋_GB2312"/>
                <w:sz w:val="28"/>
                <w:szCs w:val="28"/>
              </w:rPr>
            </w:pPr>
            <w:r>
              <w:rPr>
                <w:rFonts w:hint="eastAsia" w:ascii="仿宋_GB2312" w:hAnsi="仿宋_GB2312" w:cs="仿宋_GB2312"/>
                <w:sz w:val="28"/>
                <w:szCs w:val="28"/>
              </w:rPr>
              <w:t>11</w:t>
            </w:r>
          </w:p>
        </w:tc>
        <w:tc>
          <w:tcPr>
            <w:tcW w:w="5246" w:type="dxa"/>
            <w:vAlign w:val="center"/>
          </w:tcPr>
          <w:p w14:paraId="48A54085">
            <w:pPr>
              <w:spacing w:line="360" w:lineRule="exact"/>
              <w:jc w:val="center"/>
              <w:rPr>
                <w:rFonts w:ascii="仿宋_GB2312" w:hAnsi="仿宋_GB2312" w:cs="仿宋_GB2312"/>
                <w:sz w:val="28"/>
                <w:szCs w:val="28"/>
              </w:rPr>
            </w:pPr>
            <w:r>
              <w:rPr>
                <w:rFonts w:hint="eastAsia" w:ascii="仿宋_GB2312" w:hAnsi="仿宋_GB2312" w:cs="仿宋_GB2312"/>
                <w:sz w:val="28"/>
                <w:szCs w:val="28"/>
              </w:rPr>
              <w:t>清洁卫生良好</w:t>
            </w:r>
          </w:p>
        </w:tc>
        <w:tc>
          <w:tcPr>
            <w:tcW w:w="716" w:type="dxa"/>
            <w:vAlign w:val="center"/>
          </w:tcPr>
          <w:p w14:paraId="102FD188">
            <w:pPr>
              <w:spacing w:line="360" w:lineRule="exact"/>
              <w:jc w:val="center"/>
              <w:rPr>
                <w:rFonts w:ascii="仿宋_GB2312" w:hAnsi="仿宋_GB2312" w:cs="仿宋_GB2312"/>
                <w:sz w:val="28"/>
                <w:szCs w:val="28"/>
              </w:rPr>
            </w:pPr>
          </w:p>
        </w:tc>
        <w:tc>
          <w:tcPr>
            <w:tcW w:w="696" w:type="dxa"/>
            <w:vAlign w:val="center"/>
          </w:tcPr>
          <w:p w14:paraId="4A5C3D84">
            <w:pPr>
              <w:spacing w:line="360" w:lineRule="exact"/>
              <w:jc w:val="center"/>
              <w:rPr>
                <w:rFonts w:ascii="仿宋_GB2312" w:hAnsi="仿宋_GB2312" w:cs="仿宋_GB2312"/>
                <w:sz w:val="28"/>
                <w:szCs w:val="28"/>
              </w:rPr>
            </w:pPr>
          </w:p>
        </w:tc>
        <w:tc>
          <w:tcPr>
            <w:tcW w:w="842" w:type="dxa"/>
            <w:vAlign w:val="center"/>
          </w:tcPr>
          <w:p w14:paraId="162ECFB3">
            <w:pPr>
              <w:spacing w:line="360" w:lineRule="exact"/>
              <w:jc w:val="center"/>
              <w:rPr>
                <w:rFonts w:ascii="仿宋_GB2312" w:hAnsi="仿宋_GB2312" w:cs="仿宋_GB2312"/>
                <w:sz w:val="28"/>
                <w:szCs w:val="28"/>
              </w:rPr>
            </w:pPr>
          </w:p>
        </w:tc>
        <w:tc>
          <w:tcPr>
            <w:tcW w:w="975" w:type="dxa"/>
            <w:vAlign w:val="center"/>
          </w:tcPr>
          <w:p w14:paraId="1DD77EA9">
            <w:pPr>
              <w:spacing w:line="360" w:lineRule="exact"/>
              <w:jc w:val="center"/>
              <w:rPr>
                <w:rFonts w:ascii="仿宋_GB2312" w:hAnsi="仿宋_GB2312" w:cs="仿宋_GB2312"/>
                <w:sz w:val="28"/>
                <w:szCs w:val="28"/>
              </w:rPr>
            </w:pPr>
          </w:p>
        </w:tc>
      </w:tr>
      <w:tr w14:paraId="012B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2338DE44">
            <w:pPr>
              <w:spacing w:line="360" w:lineRule="exact"/>
              <w:jc w:val="center"/>
              <w:rPr>
                <w:rFonts w:ascii="仿宋_GB2312" w:hAnsi="仿宋_GB2312" w:cs="仿宋_GB2312"/>
                <w:sz w:val="28"/>
                <w:szCs w:val="28"/>
              </w:rPr>
            </w:pPr>
            <w:r>
              <w:rPr>
                <w:rFonts w:hint="eastAsia" w:ascii="仿宋_GB2312" w:hAnsi="仿宋_GB2312" w:cs="仿宋_GB2312"/>
                <w:sz w:val="28"/>
                <w:szCs w:val="28"/>
              </w:rPr>
              <w:t>12</w:t>
            </w:r>
          </w:p>
        </w:tc>
        <w:tc>
          <w:tcPr>
            <w:tcW w:w="5246" w:type="dxa"/>
            <w:vAlign w:val="center"/>
          </w:tcPr>
          <w:p w14:paraId="0A385ADD">
            <w:pPr>
              <w:spacing w:line="360" w:lineRule="exact"/>
              <w:jc w:val="center"/>
              <w:rPr>
                <w:rFonts w:ascii="仿宋_GB2312" w:hAnsi="仿宋_GB2312" w:cs="仿宋_GB2312"/>
                <w:sz w:val="28"/>
                <w:szCs w:val="28"/>
              </w:rPr>
            </w:pPr>
            <w:r>
              <w:rPr>
                <w:rFonts w:hint="eastAsia" w:ascii="仿宋_GB2312" w:hAnsi="仿宋_GB2312" w:cs="仿宋_GB2312"/>
                <w:sz w:val="28"/>
                <w:szCs w:val="28"/>
              </w:rPr>
              <w:t>绿化养护良好</w:t>
            </w:r>
          </w:p>
        </w:tc>
        <w:tc>
          <w:tcPr>
            <w:tcW w:w="716" w:type="dxa"/>
            <w:vAlign w:val="center"/>
          </w:tcPr>
          <w:p w14:paraId="772893CB">
            <w:pPr>
              <w:spacing w:line="360" w:lineRule="exact"/>
              <w:jc w:val="center"/>
              <w:rPr>
                <w:rFonts w:ascii="仿宋_GB2312" w:hAnsi="仿宋_GB2312" w:cs="仿宋_GB2312"/>
                <w:sz w:val="28"/>
                <w:szCs w:val="28"/>
              </w:rPr>
            </w:pPr>
          </w:p>
        </w:tc>
        <w:tc>
          <w:tcPr>
            <w:tcW w:w="696" w:type="dxa"/>
            <w:vAlign w:val="center"/>
          </w:tcPr>
          <w:p w14:paraId="31BBC734">
            <w:pPr>
              <w:spacing w:line="360" w:lineRule="exact"/>
              <w:jc w:val="center"/>
              <w:rPr>
                <w:rFonts w:ascii="仿宋_GB2312" w:hAnsi="仿宋_GB2312" w:cs="仿宋_GB2312"/>
                <w:sz w:val="28"/>
                <w:szCs w:val="28"/>
              </w:rPr>
            </w:pPr>
          </w:p>
        </w:tc>
        <w:tc>
          <w:tcPr>
            <w:tcW w:w="842" w:type="dxa"/>
            <w:vAlign w:val="center"/>
          </w:tcPr>
          <w:p w14:paraId="6FC0C2BB">
            <w:pPr>
              <w:spacing w:line="360" w:lineRule="exact"/>
              <w:jc w:val="center"/>
              <w:rPr>
                <w:rFonts w:ascii="仿宋_GB2312" w:hAnsi="仿宋_GB2312" w:cs="仿宋_GB2312"/>
                <w:sz w:val="28"/>
                <w:szCs w:val="28"/>
              </w:rPr>
            </w:pPr>
          </w:p>
        </w:tc>
        <w:tc>
          <w:tcPr>
            <w:tcW w:w="975" w:type="dxa"/>
            <w:vAlign w:val="center"/>
          </w:tcPr>
          <w:p w14:paraId="7B9F91AE">
            <w:pPr>
              <w:spacing w:line="360" w:lineRule="exact"/>
              <w:jc w:val="center"/>
              <w:rPr>
                <w:rFonts w:ascii="仿宋_GB2312" w:hAnsi="仿宋_GB2312" w:cs="仿宋_GB2312"/>
                <w:sz w:val="28"/>
                <w:szCs w:val="28"/>
              </w:rPr>
            </w:pPr>
          </w:p>
        </w:tc>
      </w:tr>
      <w:tr w14:paraId="3ABDC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731" w:type="dxa"/>
            <w:vAlign w:val="center"/>
          </w:tcPr>
          <w:p w14:paraId="1E2B269B">
            <w:pPr>
              <w:spacing w:line="360" w:lineRule="exact"/>
              <w:jc w:val="center"/>
              <w:rPr>
                <w:rFonts w:ascii="仿宋_GB2312" w:hAnsi="仿宋_GB2312" w:cs="仿宋_GB2312"/>
                <w:sz w:val="28"/>
                <w:szCs w:val="28"/>
              </w:rPr>
            </w:pPr>
            <w:r>
              <w:rPr>
                <w:rFonts w:hint="eastAsia" w:ascii="仿宋_GB2312" w:hAnsi="仿宋_GB2312" w:cs="仿宋_GB2312"/>
                <w:sz w:val="28"/>
                <w:szCs w:val="28"/>
              </w:rPr>
              <w:t>13</w:t>
            </w:r>
          </w:p>
        </w:tc>
        <w:tc>
          <w:tcPr>
            <w:tcW w:w="5246" w:type="dxa"/>
            <w:vAlign w:val="center"/>
          </w:tcPr>
          <w:p w14:paraId="044C6EAF">
            <w:pPr>
              <w:spacing w:line="360" w:lineRule="exact"/>
              <w:jc w:val="center"/>
              <w:rPr>
                <w:rFonts w:ascii="仿宋_GB2312" w:hAnsi="仿宋_GB2312" w:cs="仿宋_GB2312"/>
                <w:sz w:val="28"/>
                <w:szCs w:val="28"/>
              </w:rPr>
            </w:pPr>
            <w:r>
              <w:rPr>
                <w:rFonts w:hint="eastAsia" w:ascii="仿宋_GB2312" w:hAnsi="仿宋_GB2312" w:cs="仿宋_GB2312"/>
                <w:sz w:val="28"/>
                <w:szCs w:val="28"/>
              </w:rPr>
              <w:t>张贴服务电话、服务事项、负责人员、收费项目和标准等信息</w:t>
            </w:r>
          </w:p>
        </w:tc>
        <w:tc>
          <w:tcPr>
            <w:tcW w:w="716" w:type="dxa"/>
            <w:vAlign w:val="center"/>
          </w:tcPr>
          <w:p w14:paraId="32E1E636">
            <w:pPr>
              <w:spacing w:line="360" w:lineRule="exact"/>
              <w:jc w:val="center"/>
              <w:rPr>
                <w:rFonts w:ascii="仿宋_GB2312" w:hAnsi="仿宋_GB2312" w:cs="仿宋_GB2312"/>
                <w:sz w:val="28"/>
                <w:szCs w:val="28"/>
              </w:rPr>
            </w:pPr>
          </w:p>
        </w:tc>
        <w:tc>
          <w:tcPr>
            <w:tcW w:w="696" w:type="dxa"/>
            <w:vAlign w:val="center"/>
          </w:tcPr>
          <w:p w14:paraId="36625EB5">
            <w:pPr>
              <w:spacing w:line="360" w:lineRule="exact"/>
              <w:jc w:val="center"/>
              <w:rPr>
                <w:rFonts w:ascii="仿宋_GB2312" w:hAnsi="仿宋_GB2312" w:cs="仿宋_GB2312"/>
                <w:sz w:val="28"/>
                <w:szCs w:val="28"/>
              </w:rPr>
            </w:pPr>
          </w:p>
        </w:tc>
        <w:tc>
          <w:tcPr>
            <w:tcW w:w="842" w:type="dxa"/>
            <w:vAlign w:val="center"/>
          </w:tcPr>
          <w:p w14:paraId="4777C74F">
            <w:pPr>
              <w:spacing w:line="360" w:lineRule="exact"/>
              <w:jc w:val="center"/>
              <w:rPr>
                <w:rFonts w:ascii="仿宋_GB2312" w:hAnsi="仿宋_GB2312" w:cs="仿宋_GB2312"/>
                <w:sz w:val="28"/>
                <w:szCs w:val="28"/>
              </w:rPr>
            </w:pPr>
          </w:p>
        </w:tc>
        <w:tc>
          <w:tcPr>
            <w:tcW w:w="975" w:type="dxa"/>
            <w:vAlign w:val="center"/>
          </w:tcPr>
          <w:p w14:paraId="49661EB7">
            <w:pPr>
              <w:spacing w:line="360" w:lineRule="exact"/>
              <w:jc w:val="center"/>
              <w:rPr>
                <w:rFonts w:ascii="仿宋_GB2312" w:hAnsi="仿宋_GB2312" w:cs="仿宋_GB2312"/>
                <w:sz w:val="28"/>
                <w:szCs w:val="28"/>
              </w:rPr>
            </w:pPr>
          </w:p>
        </w:tc>
      </w:tr>
      <w:tr w14:paraId="17BAA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0664B477">
            <w:pPr>
              <w:spacing w:line="360" w:lineRule="exact"/>
              <w:jc w:val="center"/>
              <w:rPr>
                <w:rFonts w:ascii="仿宋_GB2312" w:hAnsi="仿宋_GB2312" w:cs="仿宋_GB2312"/>
                <w:sz w:val="28"/>
                <w:szCs w:val="28"/>
              </w:rPr>
            </w:pPr>
            <w:r>
              <w:rPr>
                <w:rFonts w:hint="eastAsia" w:ascii="仿宋_GB2312" w:hAnsi="仿宋_GB2312" w:cs="仿宋_GB2312"/>
                <w:sz w:val="28"/>
                <w:szCs w:val="28"/>
              </w:rPr>
              <w:t>14</w:t>
            </w:r>
          </w:p>
        </w:tc>
        <w:tc>
          <w:tcPr>
            <w:tcW w:w="5246" w:type="dxa"/>
            <w:vAlign w:val="center"/>
          </w:tcPr>
          <w:p w14:paraId="0209DA9E">
            <w:pPr>
              <w:spacing w:line="360" w:lineRule="exact"/>
              <w:jc w:val="center"/>
              <w:rPr>
                <w:rFonts w:ascii="仿宋_GB2312" w:hAnsi="仿宋_GB2312" w:cs="仿宋_GB2312"/>
                <w:sz w:val="28"/>
                <w:szCs w:val="28"/>
              </w:rPr>
            </w:pPr>
            <w:r>
              <w:rPr>
                <w:rFonts w:hint="eastAsia" w:ascii="仿宋_GB2312" w:hAnsi="仿宋_GB2312" w:cs="仿宋_GB2312"/>
                <w:sz w:val="28"/>
                <w:szCs w:val="28"/>
              </w:rPr>
              <w:t>按合同约定公布物业服务费的收支情况</w:t>
            </w:r>
          </w:p>
        </w:tc>
        <w:tc>
          <w:tcPr>
            <w:tcW w:w="716" w:type="dxa"/>
            <w:vAlign w:val="center"/>
          </w:tcPr>
          <w:p w14:paraId="32808A26">
            <w:pPr>
              <w:spacing w:line="360" w:lineRule="exact"/>
              <w:jc w:val="center"/>
              <w:rPr>
                <w:rFonts w:ascii="仿宋_GB2312" w:hAnsi="仿宋_GB2312" w:cs="仿宋_GB2312"/>
                <w:sz w:val="28"/>
                <w:szCs w:val="28"/>
              </w:rPr>
            </w:pPr>
          </w:p>
        </w:tc>
        <w:tc>
          <w:tcPr>
            <w:tcW w:w="696" w:type="dxa"/>
            <w:vAlign w:val="center"/>
          </w:tcPr>
          <w:p w14:paraId="7240B5E1">
            <w:pPr>
              <w:spacing w:line="360" w:lineRule="exact"/>
              <w:jc w:val="center"/>
              <w:rPr>
                <w:rFonts w:ascii="仿宋_GB2312" w:hAnsi="仿宋_GB2312" w:cs="仿宋_GB2312"/>
                <w:sz w:val="28"/>
                <w:szCs w:val="28"/>
              </w:rPr>
            </w:pPr>
          </w:p>
        </w:tc>
        <w:tc>
          <w:tcPr>
            <w:tcW w:w="842" w:type="dxa"/>
            <w:vAlign w:val="center"/>
          </w:tcPr>
          <w:p w14:paraId="3AE6CC95">
            <w:pPr>
              <w:spacing w:line="360" w:lineRule="exact"/>
              <w:jc w:val="center"/>
              <w:rPr>
                <w:rFonts w:ascii="仿宋_GB2312" w:hAnsi="仿宋_GB2312" w:cs="仿宋_GB2312"/>
                <w:sz w:val="28"/>
                <w:szCs w:val="28"/>
              </w:rPr>
            </w:pPr>
          </w:p>
        </w:tc>
        <w:tc>
          <w:tcPr>
            <w:tcW w:w="975" w:type="dxa"/>
            <w:vAlign w:val="center"/>
          </w:tcPr>
          <w:p w14:paraId="135A2D72">
            <w:pPr>
              <w:spacing w:line="360" w:lineRule="exact"/>
              <w:jc w:val="center"/>
              <w:rPr>
                <w:rFonts w:ascii="仿宋_GB2312" w:hAnsi="仿宋_GB2312" w:cs="仿宋_GB2312"/>
                <w:sz w:val="28"/>
                <w:szCs w:val="28"/>
              </w:rPr>
            </w:pPr>
          </w:p>
        </w:tc>
      </w:tr>
      <w:tr w14:paraId="21EE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53D0D626">
            <w:pPr>
              <w:spacing w:line="360" w:lineRule="exact"/>
              <w:jc w:val="center"/>
              <w:rPr>
                <w:rFonts w:ascii="仿宋_GB2312" w:hAnsi="仿宋_GB2312" w:cs="仿宋_GB2312"/>
                <w:sz w:val="28"/>
                <w:szCs w:val="28"/>
              </w:rPr>
            </w:pPr>
            <w:r>
              <w:rPr>
                <w:rFonts w:hint="eastAsia" w:ascii="仿宋_GB2312" w:hAnsi="仿宋_GB2312" w:cs="仿宋_GB2312"/>
                <w:sz w:val="28"/>
                <w:szCs w:val="28"/>
              </w:rPr>
              <w:t>15</w:t>
            </w:r>
          </w:p>
        </w:tc>
        <w:tc>
          <w:tcPr>
            <w:tcW w:w="5246" w:type="dxa"/>
            <w:vAlign w:val="center"/>
          </w:tcPr>
          <w:p w14:paraId="7A071B45">
            <w:pPr>
              <w:spacing w:line="360" w:lineRule="exact"/>
              <w:jc w:val="center"/>
              <w:rPr>
                <w:rFonts w:ascii="仿宋_GB2312" w:hAnsi="仿宋_GB2312" w:cs="仿宋_GB2312"/>
                <w:sz w:val="28"/>
                <w:szCs w:val="28"/>
              </w:rPr>
            </w:pPr>
            <w:r>
              <w:rPr>
                <w:rFonts w:hint="eastAsia" w:ascii="仿宋_GB2312" w:hAnsi="仿宋_GB2312" w:cs="仿宋_GB2312"/>
                <w:sz w:val="28"/>
                <w:szCs w:val="28"/>
              </w:rPr>
              <w:t>按合同约定公布公共收益的收支情况</w:t>
            </w:r>
          </w:p>
        </w:tc>
        <w:tc>
          <w:tcPr>
            <w:tcW w:w="716" w:type="dxa"/>
            <w:vAlign w:val="center"/>
          </w:tcPr>
          <w:p w14:paraId="158D0E24">
            <w:pPr>
              <w:spacing w:line="360" w:lineRule="exact"/>
              <w:jc w:val="center"/>
              <w:rPr>
                <w:rFonts w:ascii="仿宋_GB2312" w:hAnsi="仿宋_GB2312" w:cs="仿宋_GB2312"/>
                <w:sz w:val="28"/>
                <w:szCs w:val="28"/>
              </w:rPr>
            </w:pPr>
          </w:p>
        </w:tc>
        <w:tc>
          <w:tcPr>
            <w:tcW w:w="696" w:type="dxa"/>
            <w:vAlign w:val="center"/>
          </w:tcPr>
          <w:p w14:paraId="41BCD932">
            <w:pPr>
              <w:spacing w:line="360" w:lineRule="exact"/>
              <w:jc w:val="center"/>
              <w:rPr>
                <w:rFonts w:ascii="仿宋_GB2312" w:hAnsi="仿宋_GB2312" w:cs="仿宋_GB2312"/>
                <w:sz w:val="28"/>
                <w:szCs w:val="28"/>
              </w:rPr>
            </w:pPr>
          </w:p>
        </w:tc>
        <w:tc>
          <w:tcPr>
            <w:tcW w:w="842" w:type="dxa"/>
            <w:vAlign w:val="center"/>
          </w:tcPr>
          <w:p w14:paraId="194F33E5">
            <w:pPr>
              <w:spacing w:line="360" w:lineRule="exact"/>
              <w:jc w:val="center"/>
              <w:rPr>
                <w:rFonts w:ascii="仿宋_GB2312" w:hAnsi="仿宋_GB2312" w:cs="仿宋_GB2312"/>
                <w:sz w:val="28"/>
                <w:szCs w:val="28"/>
              </w:rPr>
            </w:pPr>
          </w:p>
        </w:tc>
        <w:tc>
          <w:tcPr>
            <w:tcW w:w="975" w:type="dxa"/>
            <w:vAlign w:val="center"/>
          </w:tcPr>
          <w:p w14:paraId="1EDA92CA">
            <w:pPr>
              <w:spacing w:line="360" w:lineRule="exact"/>
              <w:jc w:val="center"/>
              <w:rPr>
                <w:rFonts w:ascii="仿宋_GB2312" w:hAnsi="仿宋_GB2312" w:cs="仿宋_GB2312"/>
                <w:sz w:val="28"/>
                <w:szCs w:val="28"/>
              </w:rPr>
            </w:pPr>
          </w:p>
        </w:tc>
      </w:tr>
      <w:tr w14:paraId="11BFB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1A66BB84">
            <w:pPr>
              <w:spacing w:line="360" w:lineRule="exact"/>
              <w:jc w:val="center"/>
              <w:rPr>
                <w:rFonts w:ascii="仿宋_GB2312" w:hAnsi="仿宋_GB2312" w:cs="仿宋_GB2312"/>
                <w:sz w:val="28"/>
                <w:szCs w:val="28"/>
              </w:rPr>
            </w:pPr>
            <w:r>
              <w:rPr>
                <w:rFonts w:hint="eastAsia" w:ascii="仿宋_GB2312" w:hAnsi="仿宋_GB2312" w:cs="仿宋_GB2312"/>
                <w:sz w:val="28"/>
                <w:szCs w:val="28"/>
              </w:rPr>
              <w:t>16</w:t>
            </w:r>
          </w:p>
        </w:tc>
        <w:tc>
          <w:tcPr>
            <w:tcW w:w="5246" w:type="dxa"/>
            <w:vAlign w:val="center"/>
          </w:tcPr>
          <w:p w14:paraId="3168E222">
            <w:pPr>
              <w:spacing w:line="360" w:lineRule="exact"/>
              <w:jc w:val="center"/>
              <w:rPr>
                <w:rFonts w:ascii="仿宋_GB2312" w:hAnsi="仿宋_GB2312" w:cs="仿宋_GB2312"/>
                <w:sz w:val="28"/>
                <w:szCs w:val="28"/>
              </w:rPr>
            </w:pPr>
            <w:r>
              <w:rPr>
                <w:rFonts w:hint="eastAsia" w:ascii="仿宋_GB2312" w:hAnsi="仿宋_GB2312" w:cs="仿宋_GB2312"/>
                <w:sz w:val="28"/>
                <w:szCs w:val="28"/>
              </w:rPr>
              <w:t>开展宣传、警示、危险提醒工作</w:t>
            </w:r>
          </w:p>
        </w:tc>
        <w:tc>
          <w:tcPr>
            <w:tcW w:w="716" w:type="dxa"/>
            <w:vAlign w:val="center"/>
          </w:tcPr>
          <w:p w14:paraId="6F1CDD0C">
            <w:pPr>
              <w:spacing w:line="360" w:lineRule="exact"/>
              <w:jc w:val="center"/>
              <w:rPr>
                <w:rFonts w:ascii="仿宋_GB2312" w:hAnsi="仿宋_GB2312" w:cs="仿宋_GB2312"/>
                <w:sz w:val="28"/>
                <w:szCs w:val="28"/>
              </w:rPr>
            </w:pPr>
          </w:p>
        </w:tc>
        <w:tc>
          <w:tcPr>
            <w:tcW w:w="696" w:type="dxa"/>
            <w:vAlign w:val="center"/>
          </w:tcPr>
          <w:p w14:paraId="6BB89D69">
            <w:pPr>
              <w:spacing w:line="360" w:lineRule="exact"/>
              <w:jc w:val="center"/>
              <w:rPr>
                <w:rFonts w:ascii="仿宋_GB2312" w:hAnsi="仿宋_GB2312" w:cs="仿宋_GB2312"/>
                <w:sz w:val="28"/>
                <w:szCs w:val="28"/>
              </w:rPr>
            </w:pPr>
          </w:p>
        </w:tc>
        <w:tc>
          <w:tcPr>
            <w:tcW w:w="842" w:type="dxa"/>
            <w:vAlign w:val="center"/>
          </w:tcPr>
          <w:p w14:paraId="31C472A0">
            <w:pPr>
              <w:spacing w:line="360" w:lineRule="exact"/>
              <w:jc w:val="center"/>
              <w:rPr>
                <w:rFonts w:ascii="仿宋_GB2312" w:hAnsi="仿宋_GB2312" w:cs="仿宋_GB2312"/>
                <w:sz w:val="28"/>
                <w:szCs w:val="28"/>
              </w:rPr>
            </w:pPr>
          </w:p>
        </w:tc>
        <w:tc>
          <w:tcPr>
            <w:tcW w:w="975" w:type="dxa"/>
            <w:vAlign w:val="center"/>
          </w:tcPr>
          <w:p w14:paraId="35901F03">
            <w:pPr>
              <w:spacing w:line="360" w:lineRule="exact"/>
              <w:jc w:val="center"/>
              <w:rPr>
                <w:rFonts w:ascii="仿宋_GB2312" w:hAnsi="仿宋_GB2312" w:cs="仿宋_GB2312"/>
                <w:sz w:val="28"/>
                <w:szCs w:val="28"/>
              </w:rPr>
            </w:pPr>
          </w:p>
        </w:tc>
      </w:tr>
      <w:tr w14:paraId="0F58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3F2A8DF1">
            <w:pPr>
              <w:spacing w:line="360" w:lineRule="exact"/>
              <w:jc w:val="center"/>
              <w:rPr>
                <w:rFonts w:ascii="仿宋_GB2312" w:hAnsi="仿宋_GB2312" w:cs="仿宋_GB2312"/>
                <w:sz w:val="28"/>
                <w:szCs w:val="28"/>
              </w:rPr>
            </w:pPr>
            <w:r>
              <w:rPr>
                <w:rFonts w:hint="eastAsia" w:ascii="仿宋_GB2312" w:hAnsi="仿宋_GB2312" w:cs="仿宋_GB2312"/>
                <w:sz w:val="28"/>
                <w:szCs w:val="28"/>
              </w:rPr>
              <w:t>17</w:t>
            </w:r>
          </w:p>
        </w:tc>
        <w:tc>
          <w:tcPr>
            <w:tcW w:w="5246" w:type="dxa"/>
            <w:vAlign w:val="center"/>
          </w:tcPr>
          <w:p w14:paraId="714A7942">
            <w:pPr>
              <w:spacing w:line="360" w:lineRule="exact"/>
              <w:jc w:val="center"/>
              <w:rPr>
                <w:rFonts w:ascii="仿宋_GB2312" w:hAnsi="仿宋_GB2312" w:cs="仿宋_GB2312"/>
                <w:sz w:val="28"/>
                <w:szCs w:val="28"/>
              </w:rPr>
            </w:pPr>
            <w:r>
              <w:rPr>
                <w:rFonts w:hint="eastAsia" w:ascii="仿宋_GB2312" w:hAnsi="仿宋_GB2312" w:cs="仿宋_GB2312"/>
                <w:sz w:val="28"/>
                <w:szCs w:val="28"/>
              </w:rPr>
              <w:t>积极推动安全隐患的建议治理</w:t>
            </w:r>
          </w:p>
        </w:tc>
        <w:tc>
          <w:tcPr>
            <w:tcW w:w="716" w:type="dxa"/>
            <w:vAlign w:val="center"/>
          </w:tcPr>
          <w:p w14:paraId="13524A16">
            <w:pPr>
              <w:spacing w:line="360" w:lineRule="exact"/>
              <w:jc w:val="center"/>
              <w:rPr>
                <w:rFonts w:ascii="仿宋_GB2312" w:hAnsi="仿宋_GB2312" w:cs="仿宋_GB2312"/>
                <w:sz w:val="28"/>
                <w:szCs w:val="28"/>
              </w:rPr>
            </w:pPr>
          </w:p>
        </w:tc>
        <w:tc>
          <w:tcPr>
            <w:tcW w:w="696" w:type="dxa"/>
            <w:vAlign w:val="center"/>
          </w:tcPr>
          <w:p w14:paraId="702AC7B7">
            <w:pPr>
              <w:spacing w:line="360" w:lineRule="exact"/>
              <w:jc w:val="center"/>
              <w:rPr>
                <w:rFonts w:ascii="仿宋_GB2312" w:hAnsi="仿宋_GB2312" w:cs="仿宋_GB2312"/>
                <w:sz w:val="28"/>
                <w:szCs w:val="28"/>
              </w:rPr>
            </w:pPr>
          </w:p>
        </w:tc>
        <w:tc>
          <w:tcPr>
            <w:tcW w:w="842" w:type="dxa"/>
            <w:vAlign w:val="center"/>
          </w:tcPr>
          <w:p w14:paraId="6DCD7A52">
            <w:pPr>
              <w:spacing w:line="360" w:lineRule="exact"/>
              <w:jc w:val="center"/>
              <w:rPr>
                <w:rFonts w:ascii="仿宋_GB2312" w:hAnsi="仿宋_GB2312" w:cs="仿宋_GB2312"/>
                <w:sz w:val="28"/>
                <w:szCs w:val="28"/>
              </w:rPr>
            </w:pPr>
          </w:p>
        </w:tc>
        <w:tc>
          <w:tcPr>
            <w:tcW w:w="975" w:type="dxa"/>
            <w:vAlign w:val="center"/>
          </w:tcPr>
          <w:p w14:paraId="6B00A0A5">
            <w:pPr>
              <w:spacing w:line="360" w:lineRule="exact"/>
              <w:jc w:val="center"/>
              <w:rPr>
                <w:rFonts w:ascii="仿宋_GB2312" w:hAnsi="仿宋_GB2312" w:cs="仿宋_GB2312"/>
                <w:sz w:val="28"/>
                <w:szCs w:val="28"/>
              </w:rPr>
            </w:pPr>
          </w:p>
        </w:tc>
      </w:tr>
      <w:tr w14:paraId="33D2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exact"/>
          <w:jc w:val="center"/>
        </w:trPr>
        <w:tc>
          <w:tcPr>
            <w:tcW w:w="731" w:type="dxa"/>
            <w:vAlign w:val="center"/>
          </w:tcPr>
          <w:p w14:paraId="01D6F7CC">
            <w:pPr>
              <w:spacing w:line="360" w:lineRule="exact"/>
              <w:jc w:val="center"/>
              <w:rPr>
                <w:rFonts w:ascii="仿宋_GB2312" w:hAnsi="仿宋_GB2312" w:cs="仿宋_GB2312"/>
                <w:sz w:val="28"/>
                <w:szCs w:val="28"/>
              </w:rPr>
            </w:pPr>
            <w:r>
              <w:rPr>
                <w:rFonts w:hint="eastAsia" w:ascii="仿宋_GB2312" w:hAnsi="仿宋_GB2312" w:cs="仿宋_GB2312"/>
                <w:sz w:val="28"/>
                <w:szCs w:val="28"/>
              </w:rPr>
              <w:t>18</w:t>
            </w:r>
          </w:p>
        </w:tc>
        <w:tc>
          <w:tcPr>
            <w:tcW w:w="5246" w:type="dxa"/>
            <w:vAlign w:val="center"/>
          </w:tcPr>
          <w:p w14:paraId="106C89A5">
            <w:pPr>
              <w:spacing w:line="360" w:lineRule="exact"/>
              <w:jc w:val="center"/>
              <w:rPr>
                <w:rFonts w:ascii="仿宋_GB2312" w:hAnsi="仿宋_GB2312" w:cs="仿宋_GB2312"/>
                <w:sz w:val="28"/>
                <w:szCs w:val="28"/>
              </w:rPr>
            </w:pPr>
            <w:r>
              <w:rPr>
                <w:rFonts w:hint="eastAsia" w:ascii="仿宋_GB2312" w:hAnsi="仿宋_GB2312" w:cs="仿宋_GB2312"/>
                <w:sz w:val="28"/>
                <w:szCs w:val="28"/>
              </w:rPr>
              <w:t>畅通意见投诉渠道，处理业主意见和投诉</w:t>
            </w:r>
          </w:p>
        </w:tc>
        <w:tc>
          <w:tcPr>
            <w:tcW w:w="716" w:type="dxa"/>
            <w:vAlign w:val="center"/>
          </w:tcPr>
          <w:p w14:paraId="3A7CC55A">
            <w:pPr>
              <w:spacing w:line="360" w:lineRule="exact"/>
              <w:jc w:val="center"/>
              <w:rPr>
                <w:rFonts w:ascii="仿宋_GB2312" w:hAnsi="仿宋_GB2312" w:cs="仿宋_GB2312"/>
                <w:sz w:val="28"/>
                <w:szCs w:val="28"/>
              </w:rPr>
            </w:pPr>
          </w:p>
        </w:tc>
        <w:tc>
          <w:tcPr>
            <w:tcW w:w="696" w:type="dxa"/>
            <w:vAlign w:val="center"/>
          </w:tcPr>
          <w:p w14:paraId="7C5A3E7F">
            <w:pPr>
              <w:spacing w:line="360" w:lineRule="exact"/>
              <w:jc w:val="center"/>
              <w:rPr>
                <w:rFonts w:ascii="仿宋_GB2312" w:hAnsi="仿宋_GB2312" w:cs="仿宋_GB2312"/>
                <w:sz w:val="28"/>
                <w:szCs w:val="28"/>
              </w:rPr>
            </w:pPr>
          </w:p>
        </w:tc>
        <w:tc>
          <w:tcPr>
            <w:tcW w:w="842" w:type="dxa"/>
            <w:vAlign w:val="center"/>
          </w:tcPr>
          <w:p w14:paraId="54F1C0E0">
            <w:pPr>
              <w:spacing w:line="360" w:lineRule="exact"/>
              <w:jc w:val="center"/>
              <w:rPr>
                <w:rFonts w:ascii="仿宋_GB2312" w:hAnsi="仿宋_GB2312" w:cs="仿宋_GB2312"/>
                <w:sz w:val="28"/>
                <w:szCs w:val="28"/>
              </w:rPr>
            </w:pPr>
          </w:p>
        </w:tc>
        <w:tc>
          <w:tcPr>
            <w:tcW w:w="975" w:type="dxa"/>
            <w:vAlign w:val="center"/>
          </w:tcPr>
          <w:p w14:paraId="2B2F8A85">
            <w:pPr>
              <w:spacing w:line="360" w:lineRule="exact"/>
              <w:jc w:val="center"/>
              <w:rPr>
                <w:rFonts w:ascii="仿宋_GB2312" w:hAnsi="仿宋_GB2312" w:cs="仿宋_GB2312"/>
                <w:sz w:val="28"/>
                <w:szCs w:val="28"/>
              </w:rPr>
            </w:pPr>
          </w:p>
        </w:tc>
      </w:tr>
      <w:tr w14:paraId="372D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0CFCE03D">
            <w:pPr>
              <w:spacing w:line="360" w:lineRule="exact"/>
              <w:jc w:val="center"/>
              <w:rPr>
                <w:rFonts w:ascii="仿宋_GB2312" w:hAnsi="仿宋_GB2312" w:cs="仿宋_GB2312"/>
                <w:sz w:val="28"/>
                <w:szCs w:val="28"/>
              </w:rPr>
            </w:pPr>
            <w:r>
              <w:rPr>
                <w:rFonts w:hint="eastAsia" w:ascii="仿宋_GB2312" w:hAnsi="仿宋_GB2312" w:cs="仿宋_GB2312"/>
                <w:sz w:val="28"/>
                <w:szCs w:val="28"/>
              </w:rPr>
              <w:t>19</w:t>
            </w:r>
          </w:p>
        </w:tc>
        <w:tc>
          <w:tcPr>
            <w:tcW w:w="5246" w:type="dxa"/>
            <w:vAlign w:val="center"/>
          </w:tcPr>
          <w:p w14:paraId="69878DA1">
            <w:pPr>
              <w:spacing w:line="360" w:lineRule="exact"/>
              <w:jc w:val="center"/>
              <w:rPr>
                <w:rFonts w:ascii="仿宋_GB2312" w:hAnsi="仿宋_GB2312" w:cs="仿宋_GB2312"/>
                <w:sz w:val="28"/>
                <w:szCs w:val="28"/>
              </w:rPr>
            </w:pPr>
            <w:r>
              <w:rPr>
                <w:rFonts w:hint="eastAsia" w:ascii="仿宋_GB2312" w:hAnsi="仿宋_GB2312" w:cs="仿宋_GB2312"/>
                <w:sz w:val="28"/>
                <w:szCs w:val="28"/>
              </w:rPr>
              <w:t>提供上门维修服务</w:t>
            </w:r>
          </w:p>
        </w:tc>
        <w:tc>
          <w:tcPr>
            <w:tcW w:w="716" w:type="dxa"/>
            <w:vAlign w:val="center"/>
          </w:tcPr>
          <w:p w14:paraId="5E082BF3">
            <w:pPr>
              <w:spacing w:line="360" w:lineRule="exact"/>
              <w:jc w:val="center"/>
              <w:rPr>
                <w:rFonts w:ascii="仿宋_GB2312" w:hAnsi="仿宋_GB2312" w:cs="仿宋_GB2312"/>
                <w:sz w:val="28"/>
                <w:szCs w:val="28"/>
              </w:rPr>
            </w:pPr>
          </w:p>
        </w:tc>
        <w:tc>
          <w:tcPr>
            <w:tcW w:w="696" w:type="dxa"/>
            <w:vAlign w:val="center"/>
          </w:tcPr>
          <w:p w14:paraId="5D2EF48B">
            <w:pPr>
              <w:spacing w:line="360" w:lineRule="exact"/>
              <w:jc w:val="center"/>
              <w:rPr>
                <w:rFonts w:ascii="仿宋_GB2312" w:hAnsi="仿宋_GB2312" w:cs="仿宋_GB2312"/>
                <w:sz w:val="28"/>
                <w:szCs w:val="28"/>
              </w:rPr>
            </w:pPr>
          </w:p>
        </w:tc>
        <w:tc>
          <w:tcPr>
            <w:tcW w:w="842" w:type="dxa"/>
            <w:vAlign w:val="center"/>
          </w:tcPr>
          <w:p w14:paraId="5FCB73AA">
            <w:pPr>
              <w:spacing w:line="360" w:lineRule="exact"/>
              <w:jc w:val="center"/>
              <w:rPr>
                <w:rFonts w:ascii="仿宋_GB2312" w:hAnsi="仿宋_GB2312" w:cs="仿宋_GB2312"/>
                <w:sz w:val="28"/>
                <w:szCs w:val="28"/>
              </w:rPr>
            </w:pPr>
          </w:p>
        </w:tc>
        <w:tc>
          <w:tcPr>
            <w:tcW w:w="975" w:type="dxa"/>
            <w:vAlign w:val="center"/>
          </w:tcPr>
          <w:p w14:paraId="1F048DFC">
            <w:pPr>
              <w:spacing w:line="360" w:lineRule="exact"/>
              <w:jc w:val="center"/>
              <w:rPr>
                <w:rFonts w:ascii="仿宋_GB2312" w:hAnsi="仿宋_GB2312" w:cs="仿宋_GB2312"/>
                <w:sz w:val="28"/>
                <w:szCs w:val="28"/>
              </w:rPr>
            </w:pPr>
          </w:p>
        </w:tc>
      </w:tr>
      <w:tr w14:paraId="7E98B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731" w:type="dxa"/>
            <w:vAlign w:val="center"/>
          </w:tcPr>
          <w:p w14:paraId="2F2F1762">
            <w:pPr>
              <w:spacing w:line="360" w:lineRule="exact"/>
              <w:jc w:val="center"/>
              <w:rPr>
                <w:rFonts w:ascii="仿宋_GB2312" w:hAnsi="仿宋_GB2312" w:cs="仿宋_GB2312"/>
                <w:sz w:val="28"/>
                <w:szCs w:val="28"/>
              </w:rPr>
            </w:pPr>
            <w:r>
              <w:rPr>
                <w:rFonts w:hint="eastAsia" w:ascii="仿宋_GB2312" w:hAnsi="仿宋_GB2312" w:cs="仿宋_GB2312"/>
                <w:sz w:val="28"/>
                <w:szCs w:val="28"/>
              </w:rPr>
              <w:t>20</w:t>
            </w:r>
          </w:p>
        </w:tc>
        <w:tc>
          <w:tcPr>
            <w:tcW w:w="5246" w:type="dxa"/>
            <w:vAlign w:val="center"/>
          </w:tcPr>
          <w:p w14:paraId="50EA9AF7">
            <w:pPr>
              <w:spacing w:line="360" w:lineRule="exact"/>
              <w:jc w:val="center"/>
              <w:rPr>
                <w:rFonts w:ascii="仿宋_GB2312" w:hAnsi="仿宋_GB2312" w:cs="仿宋_GB2312"/>
                <w:sz w:val="28"/>
                <w:szCs w:val="28"/>
              </w:rPr>
            </w:pPr>
            <w:r>
              <w:rPr>
                <w:rFonts w:hint="eastAsia" w:ascii="仿宋_GB2312" w:hAnsi="仿宋_GB2312" w:cs="仿宋_GB2312"/>
                <w:sz w:val="28"/>
                <w:szCs w:val="28"/>
              </w:rPr>
              <w:t>有节日布置和小区活动</w:t>
            </w:r>
          </w:p>
        </w:tc>
        <w:tc>
          <w:tcPr>
            <w:tcW w:w="716" w:type="dxa"/>
            <w:vAlign w:val="center"/>
          </w:tcPr>
          <w:p w14:paraId="7C561E58">
            <w:pPr>
              <w:spacing w:line="360" w:lineRule="exact"/>
              <w:jc w:val="center"/>
              <w:rPr>
                <w:rFonts w:ascii="仿宋_GB2312" w:hAnsi="仿宋_GB2312" w:cs="仿宋_GB2312"/>
                <w:sz w:val="28"/>
                <w:szCs w:val="28"/>
              </w:rPr>
            </w:pPr>
          </w:p>
        </w:tc>
        <w:tc>
          <w:tcPr>
            <w:tcW w:w="696" w:type="dxa"/>
            <w:vAlign w:val="center"/>
          </w:tcPr>
          <w:p w14:paraId="44EDDF4F">
            <w:pPr>
              <w:spacing w:line="360" w:lineRule="exact"/>
              <w:jc w:val="center"/>
              <w:rPr>
                <w:rFonts w:ascii="仿宋_GB2312" w:hAnsi="仿宋_GB2312" w:cs="仿宋_GB2312"/>
                <w:sz w:val="28"/>
                <w:szCs w:val="28"/>
              </w:rPr>
            </w:pPr>
          </w:p>
        </w:tc>
        <w:tc>
          <w:tcPr>
            <w:tcW w:w="842" w:type="dxa"/>
            <w:vAlign w:val="center"/>
          </w:tcPr>
          <w:p w14:paraId="05B0BA30">
            <w:pPr>
              <w:spacing w:line="360" w:lineRule="exact"/>
              <w:jc w:val="center"/>
              <w:rPr>
                <w:rFonts w:ascii="仿宋_GB2312" w:hAnsi="仿宋_GB2312" w:cs="仿宋_GB2312"/>
                <w:sz w:val="28"/>
                <w:szCs w:val="28"/>
              </w:rPr>
            </w:pPr>
          </w:p>
        </w:tc>
        <w:tc>
          <w:tcPr>
            <w:tcW w:w="975" w:type="dxa"/>
            <w:vAlign w:val="center"/>
          </w:tcPr>
          <w:p w14:paraId="1A0F561A">
            <w:pPr>
              <w:spacing w:line="360" w:lineRule="exact"/>
              <w:jc w:val="center"/>
              <w:rPr>
                <w:rFonts w:ascii="仿宋_GB2312" w:hAnsi="仿宋_GB2312" w:cs="仿宋_GB2312"/>
                <w:sz w:val="28"/>
                <w:szCs w:val="28"/>
              </w:rPr>
            </w:pPr>
          </w:p>
        </w:tc>
      </w:tr>
      <w:tr w14:paraId="7B0F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jc w:val="center"/>
        </w:trPr>
        <w:tc>
          <w:tcPr>
            <w:tcW w:w="5977" w:type="dxa"/>
            <w:gridSpan w:val="2"/>
            <w:vAlign w:val="center"/>
          </w:tcPr>
          <w:p w14:paraId="2EC886D3">
            <w:pPr>
              <w:spacing w:line="360" w:lineRule="exact"/>
              <w:jc w:val="center"/>
              <w:rPr>
                <w:rFonts w:ascii="仿宋_GB2312" w:hAnsi="仿宋_GB2312" w:cs="仿宋_GB2312"/>
                <w:sz w:val="28"/>
                <w:szCs w:val="28"/>
              </w:rPr>
            </w:pPr>
            <w:r>
              <w:rPr>
                <w:rFonts w:hint="eastAsia" w:ascii="仿宋_GB2312" w:hAnsi="仿宋_GB2312" w:cs="仿宋_GB2312"/>
                <w:sz w:val="28"/>
                <w:szCs w:val="28"/>
              </w:rPr>
              <w:t>综合评价总分</w:t>
            </w:r>
          </w:p>
        </w:tc>
        <w:tc>
          <w:tcPr>
            <w:tcW w:w="3229" w:type="dxa"/>
            <w:gridSpan w:val="4"/>
            <w:vAlign w:val="center"/>
          </w:tcPr>
          <w:p w14:paraId="18BCCC66">
            <w:pPr>
              <w:spacing w:line="360" w:lineRule="exact"/>
              <w:jc w:val="center"/>
              <w:rPr>
                <w:rFonts w:ascii="仿宋_GB2312" w:hAnsi="仿宋_GB2312" w:cs="仿宋_GB2312"/>
                <w:sz w:val="28"/>
                <w:szCs w:val="28"/>
              </w:rPr>
            </w:pPr>
          </w:p>
        </w:tc>
      </w:tr>
    </w:tbl>
    <w:p w14:paraId="22B00543">
      <w:pPr>
        <w:spacing w:line="480" w:lineRule="exact"/>
        <w:rPr>
          <w:rFonts w:ascii="仿宋_GB2312" w:hAnsi="仿宋_GB2312" w:cs="仿宋_GB2312"/>
          <w:color w:val="000000" w:themeColor="text1"/>
          <w:szCs w:val="32"/>
          <w14:textFill>
            <w14:solidFill>
              <w14:schemeClr w14:val="tx1"/>
            </w14:solidFill>
          </w14:textFill>
        </w:rPr>
      </w:pPr>
      <w:r>
        <w:rPr>
          <w:rFonts w:hint="eastAsia" w:ascii="仿宋_GB2312" w:hAnsi="仿宋_GB2312" w:cs="仿宋_GB2312"/>
          <w:color w:val="000000" w:themeColor="text1"/>
          <w:szCs w:val="32"/>
          <w14:textFill>
            <w14:solidFill>
              <w14:schemeClr w14:val="tx1"/>
            </w14:solidFill>
          </w14:textFill>
        </w:rPr>
        <w:t>填表说明：</w:t>
      </w:r>
    </w:p>
    <w:p w14:paraId="34505381">
      <w:pPr>
        <w:spacing w:line="480" w:lineRule="exact"/>
        <w:ind w:firstLine="640" w:firstLineChars="200"/>
        <w:rPr>
          <w:rFonts w:ascii="仿宋_GB2312" w:hAnsi="仿宋_GB2312" w:cs="仿宋_GB2312"/>
          <w:color w:val="000000" w:themeColor="text1"/>
          <w:szCs w:val="32"/>
          <w14:textFill>
            <w14:solidFill>
              <w14:schemeClr w14:val="tx1"/>
            </w14:solidFill>
          </w14:textFill>
        </w:rPr>
      </w:pPr>
      <w:r>
        <w:rPr>
          <w:rFonts w:hint="eastAsia" w:ascii="仿宋_GB2312" w:hAnsi="仿宋_GB2312" w:cs="仿宋_GB2312"/>
          <w:color w:val="000000" w:themeColor="text1"/>
          <w:szCs w:val="32"/>
          <w14:textFill>
            <w14:solidFill>
              <w14:schemeClr w14:val="tx1"/>
            </w14:solidFill>
          </w14:textFill>
        </w:rPr>
        <w:t>物业服务质量履约评价采取百分制的方式，由业主填写该表，在参与评价的业主中去掉评分最高的10%、去掉评分最低的10%，剩下80%参评业主的平均分为本次物业服务质量履约评价的分数。</w:t>
      </w:r>
    </w:p>
    <w:p w14:paraId="00A30ECA">
      <w:pPr>
        <w:spacing w:line="480" w:lineRule="exact"/>
        <w:ind w:firstLine="640" w:firstLineChars="200"/>
        <w:rPr>
          <w:color w:val="000000" w:themeColor="text1"/>
          <w:szCs w:val="32"/>
          <w14:textFill>
            <w14:solidFill>
              <w14:schemeClr w14:val="tx1"/>
            </w14:solidFill>
          </w14:textFill>
        </w:rPr>
      </w:pPr>
      <w:r>
        <w:rPr>
          <w:rFonts w:hint="eastAsia" w:ascii="仿宋_GB2312" w:hAnsi="仿宋_GB2312" w:cs="仿宋_GB2312"/>
          <w:color w:val="000000" w:themeColor="text1"/>
          <w:szCs w:val="32"/>
          <w14:textFill>
            <w14:solidFill>
              <w14:schemeClr w14:val="tx1"/>
            </w14:solidFill>
          </w14:textFill>
        </w:rPr>
        <w:t>甲方可以制定具有本小区特点的《物业服务履约情况业主评价表》，需召开业主大会，由专有部分面积占比三分之二以上的业主且人数占比三分之二以上的业主参与表决，经参与表决专有部分面积过半数的业主且参与表决人数过半数的业主同意。</w:t>
      </w:r>
    </w:p>
    <w:sectPr>
      <w:headerReference r:id="rId7" w:type="default"/>
      <w:footerReference r:id="rId9" w:type="default"/>
      <w:headerReference r:id="rId8" w:type="even"/>
      <w:footerReference r:id="rId10" w:type="even"/>
      <w:pgSz w:w="11906" w:h="16838"/>
      <w:pgMar w:top="2098" w:right="1474" w:bottom="1984" w:left="1587" w:header="850" w:footer="1587"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A1C15DAA-70D1-4517-AA70-96AE2CACE077}"/>
  </w:font>
  <w:font w:name="黑体">
    <w:panose1 w:val="02010609060101010101"/>
    <w:charset w:val="86"/>
    <w:family w:val="auto"/>
    <w:pitch w:val="default"/>
    <w:sig w:usb0="800002BF" w:usb1="38CF7CFA" w:usb2="00000016" w:usb3="00000000" w:csb0="00040001" w:csb1="00000000"/>
    <w:embedRegular r:id="rId2" w:fontKey="{71D49685-F70A-44A3-A2EB-C298FA3605F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3" w:fontKey="{9137D172-224D-448B-854F-ABC7A9F97343}"/>
  </w:font>
  <w:font w:name="仿宋_GB2312">
    <w:panose1 w:val="02010609030101010101"/>
    <w:charset w:val="86"/>
    <w:family w:val="modern"/>
    <w:pitch w:val="default"/>
    <w:sig w:usb0="00000001" w:usb1="080E0000" w:usb2="00000000" w:usb3="00000000" w:csb0="00040000" w:csb1="00000000"/>
    <w:embedRegular r:id="rId4" w:fontKey="{2E3FA130-C6D1-4476-B191-90D156F0D72B}"/>
  </w:font>
  <w:font w:name="Liberation Sans">
    <w:altName w:val="Segoe Print"/>
    <w:panose1 w:val="00000000000000000000"/>
    <w:charset w:val="00"/>
    <w:family w:val="swiss"/>
    <w:pitch w:val="default"/>
    <w:sig w:usb0="00000000" w:usb1="00000000" w:usb2="00000021" w:usb3="00000000" w:csb0="600001BF" w:csb1="DFF70000"/>
  </w:font>
  <w:font w:name="Segoe Print">
    <w:panose1 w:val="02000600000000000000"/>
    <w:charset w:val="00"/>
    <w:family w:val="auto"/>
    <w:pitch w:val="default"/>
    <w:sig w:usb0="0000028F" w:usb1="00000000" w:usb2="00000000" w:usb3="00000000" w:csb0="2000009F" w:csb1="47010000"/>
  </w:font>
  <w:font w:name="Noto Sans CJK SC Regular">
    <w:altName w:val="宋体"/>
    <w:panose1 w:val="00000000000000000000"/>
    <w:charset w:val="86"/>
    <w:family w:val="auto"/>
    <w:pitch w:val="default"/>
    <w:sig w:usb0="00000000" w:usb1="00000000" w:usb2="00000016" w:usb3="00000000" w:csb0="602E0107" w:csb1="00000000"/>
  </w:font>
  <w:font w:name="方正仿宋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5" w:fontKey="{30C72559-0CC5-4B68-9889-3FCCB7BAC327}"/>
  </w:font>
  <w:font w:name="楷体_GB2312">
    <w:panose1 w:val="02010609030101010101"/>
    <w:charset w:val="86"/>
    <w:family w:val="modern"/>
    <w:pitch w:val="default"/>
    <w:sig w:usb0="00000001" w:usb1="080E0000" w:usb2="00000000" w:usb3="00000000" w:csb0="00040000" w:csb1="00000000"/>
    <w:embedRegular r:id="rId6" w:fontKey="{B6B12E6D-9B31-4EB8-9C5E-11E80FA96F1D}"/>
  </w:font>
  <w:font w:name="仿宋">
    <w:panose1 w:val="02010609060101010101"/>
    <w:charset w:val="86"/>
    <w:family w:val="modern"/>
    <w:pitch w:val="default"/>
    <w:sig w:usb0="800002BF" w:usb1="38CF7CFA" w:usb2="00000016" w:usb3="00000000" w:csb0="00040001" w:csb1="00000000"/>
    <w:embedRegular r:id="rId7" w:fontKey="{37DB69F6-4970-4BF7-9337-78477CA068C0}"/>
  </w:font>
  <w:font w:name="新宋体">
    <w:panose1 w:val="02010609030101010101"/>
    <w:charset w:val="86"/>
    <w:family w:val="modern"/>
    <w:pitch w:val="default"/>
    <w:sig w:usb0="00000003" w:usb1="288F0000" w:usb2="00000006" w:usb3="00000000" w:csb0="00040001" w:csb1="00000000"/>
    <w:embedRegular r:id="rId8" w:fontKey="{55C3FE61-9248-443B-B969-3EE84C85C71E}"/>
  </w:font>
  <w:font w:name="Arial Narrow">
    <w:altName w:val="Arial"/>
    <w:panose1 w:val="020B0606020202030204"/>
    <w:charset w:val="00"/>
    <w:family w:val="swiss"/>
    <w:pitch w:val="default"/>
    <w:sig w:usb0="00000000" w:usb1="00000000" w:usb2="00000000" w:usb3="00000000" w:csb0="2000009F" w:csb1="DFD70000"/>
    <w:embedRegular r:id="rId9" w:fontKey="{FB10D0A4-FA72-4C81-A4D0-3809560B6E41}"/>
  </w:font>
  <w:font w:name="方正小标宋_GBK">
    <w:panose1 w:val="02000000000000000000"/>
    <w:charset w:val="86"/>
    <w:family w:val="script"/>
    <w:pitch w:val="default"/>
    <w:sig w:usb0="A00002BF" w:usb1="38CF7CFA" w:usb2="00082016" w:usb3="00000000" w:csb0="00040001" w:csb1="00000000"/>
    <w:embedRegular r:id="rId10" w:fontKey="{65B56F7A-8CEF-44D9-BC04-56A058281CCA}"/>
  </w:font>
  <w:font w:name="原版宋体">
    <w:altName w:val="宋体"/>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61404">
    <w:pPr>
      <w:pStyle w:val="13"/>
    </w:pPr>
    <w:r>
      <w:pict>
        <v:shape id="文本框 5"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12D8EA63">
                <w:pPr>
                  <w:pStyle w:val="13"/>
                  <w:rPr>
                    <w:rFonts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ascii="原版宋体" w:hAnsi="原版宋体" w:eastAsia="原版宋体" w:cs="原版宋体"/>
                    <w:sz w:val="28"/>
                    <w:szCs w:val="28"/>
                  </w:rPr>
                  <w:t>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97D37">
    <w:pPr>
      <w:pStyle w:val="13"/>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5AC4FE">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A5AC4FE">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5F7A2">
    <w:pPr>
      <w:pStyle w:val="13"/>
    </w:pPr>
    <w:r>
      <w:pict>
        <v:shape id="文本框 6" o:spid="_x0000_s2049"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14:paraId="0EE9282B">
                <w:pPr>
                  <w:pStyle w:val="13"/>
                  <w:rPr>
                    <w:rFonts w:ascii="原版宋体" w:hAnsi="原版宋体" w:eastAsia="原版宋体" w:cs="原版宋体"/>
                    <w:sz w:val="28"/>
                    <w:szCs w:val="28"/>
                  </w:rPr>
                </w:pPr>
                <w:r>
                  <w:rPr>
                    <w:rFonts w:hint="eastAsia" w:ascii="原版宋体" w:hAnsi="原版宋体" w:eastAsia="原版宋体" w:cs="原版宋体"/>
                    <w:sz w:val="28"/>
                    <w:szCs w:val="28"/>
                  </w:rPr>
                  <w:t xml:space="preserve">— </w:t>
                </w:r>
                <w:r>
                  <w:rPr>
                    <w:rFonts w:hint="eastAsia" w:ascii="原版宋体" w:hAnsi="原版宋体" w:eastAsia="原版宋体" w:cs="原版宋体"/>
                    <w:sz w:val="28"/>
                    <w:szCs w:val="28"/>
                  </w:rPr>
                  <w:fldChar w:fldCharType="begin"/>
                </w:r>
                <w:r>
                  <w:rPr>
                    <w:rFonts w:hint="eastAsia" w:ascii="原版宋体" w:hAnsi="原版宋体" w:eastAsia="原版宋体" w:cs="原版宋体"/>
                    <w:sz w:val="28"/>
                    <w:szCs w:val="28"/>
                  </w:rPr>
                  <w:instrText xml:space="preserve"> PAGE  \* MERGEFORMAT </w:instrText>
                </w:r>
                <w:r>
                  <w:rPr>
                    <w:rFonts w:hint="eastAsia" w:ascii="原版宋体" w:hAnsi="原版宋体" w:eastAsia="原版宋体" w:cs="原版宋体"/>
                    <w:sz w:val="28"/>
                    <w:szCs w:val="28"/>
                  </w:rPr>
                  <w:fldChar w:fldCharType="separate"/>
                </w:r>
                <w:r>
                  <w:rPr>
                    <w:rFonts w:ascii="原版宋体" w:hAnsi="原版宋体" w:eastAsia="原版宋体" w:cs="原版宋体"/>
                    <w:sz w:val="28"/>
                    <w:szCs w:val="28"/>
                  </w:rPr>
                  <w:t>42</w:t>
                </w:r>
                <w:r>
                  <w:rPr>
                    <w:rFonts w:hint="eastAsia" w:ascii="原版宋体" w:hAnsi="原版宋体" w:eastAsia="原版宋体" w:cs="原版宋体"/>
                    <w:sz w:val="28"/>
                    <w:szCs w:val="28"/>
                  </w:rPr>
                  <w:fldChar w:fldCharType="end"/>
                </w:r>
                <w:r>
                  <w:rPr>
                    <w:rFonts w:hint="eastAsia" w:ascii="原版宋体" w:hAnsi="原版宋体" w:eastAsia="原版宋体" w:cs="原版宋体"/>
                    <w:sz w:val="28"/>
                    <w:szCs w:val="28"/>
                  </w:rP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F774E">
    <w:pPr>
      <w:pStyle w:val="13"/>
      <w:ind w:right="360" w:firstLine="360"/>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382617">
                          <w:pPr>
                            <w:pStyle w:val="13"/>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45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E382617">
                    <w:pPr>
                      <w:pStyle w:val="13"/>
                      <w:rPr>
                        <w:rFonts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asciiTheme="majorEastAsia" w:hAnsiTheme="majorEastAsia" w:eastAsiaTheme="majorEastAsia" w:cstheme="majorEastAsia"/>
                        <w:sz w:val="28"/>
                        <w:szCs w:val="28"/>
                      </w:rPr>
                      <w:t>45</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E803F">
    <w:pPr>
      <w:pStyle w:val="13"/>
      <w:framePr w:wrap="around" w:vAnchor="text" w:hAnchor="margin" w:xAlign="outside" w:y="1"/>
      <w:rPr>
        <w:rStyle w:val="22"/>
        <w:sz w:val="28"/>
      </w:rPr>
    </w:pPr>
    <w:r>
      <w:rPr>
        <w:rStyle w:val="22"/>
        <w:rFonts w:hint="eastAsia"/>
        <w:sz w:val="28"/>
      </w:rPr>
      <w:t>—</w:t>
    </w:r>
    <w:r>
      <w:rPr>
        <w:rStyle w:val="22"/>
        <w:sz w:val="28"/>
      </w:rPr>
      <w:t xml:space="preserve"> </w:t>
    </w:r>
    <w:r>
      <w:rPr>
        <w:sz w:val="28"/>
      </w:rPr>
      <w:fldChar w:fldCharType="begin"/>
    </w:r>
    <w:r>
      <w:rPr>
        <w:rStyle w:val="22"/>
        <w:sz w:val="28"/>
      </w:rPr>
      <w:instrText xml:space="preserve">PAGE  </w:instrText>
    </w:r>
    <w:r>
      <w:rPr>
        <w:sz w:val="28"/>
      </w:rPr>
      <w:fldChar w:fldCharType="separate"/>
    </w:r>
    <w:r>
      <w:rPr>
        <w:rStyle w:val="22"/>
        <w:sz w:val="28"/>
      </w:rPr>
      <w:t>2</w:t>
    </w:r>
    <w:r>
      <w:rPr>
        <w:sz w:val="28"/>
      </w:rPr>
      <w:fldChar w:fldCharType="end"/>
    </w:r>
    <w:r>
      <w:rPr>
        <w:rStyle w:val="22"/>
        <w:sz w:val="28"/>
      </w:rPr>
      <w:t xml:space="preserve"> </w:t>
    </w:r>
    <w:r>
      <w:rPr>
        <w:rStyle w:val="22"/>
        <w:rFonts w:hint="eastAsia"/>
        <w:sz w:val="28"/>
      </w:rPr>
      <w:t>—</w:t>
    </w:r>
  </w:p>
  <w:p w14:paraId="1E08DBD7">
    <w:pPr>
      <w:pStyle w:val="1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FAE0B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B2B0CF">
    <w:pPr>
      <w:pStyle w:val="1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1D07">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japaneseCounting"/>
      <w:lvlText w:val="第%1条"/>
      <w:lvlJc w:val="left"/>
      <w:pPr>
        <w:ind w:left="1720" w:hanging="1080"/>
      </w:pPr>
      <w:rPr>
        <w:rFonts w:hint="default" w:ascii="黑体" w:hAnsi="黑体" w:eastAsia="黑体" w:cs="黑体"/>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EyMzE1OTc2ZTUwOWYzNDA2OTFmMThmZDgyZGI1YmUifQ=="/>
  </w:docVars>
  <w:rsids>
    <w:rsidRoot w:val="003A48F1"/>
    <w:rsid w:val="00203559"/>
    <w:rsid w:val="00211BB1"/>
    <w:rsid w:val="0026686C"/>
    <w:rsid w:val="00280034"/>
    <w:rsid w:val="002902DE"/>
    <w:rsid w:val="00294CD4"/>
    <w:rsid w:val="002C7C7D"/>
    <w:rsid w:val="002D0240"/>
    <w:rsid w:val="00343E41"/>
    <w:rsid w:val="003467D6"/>
    <w:rsid w:val="00361221"/>
    <w:rsid w:val="00385099"/>
    <w:rsid w:val="00396122"/>
    <w:rsid w:val="003A1951"/>
    <w:rsid w:val="003A48F1"/>
    <w:rsid w:val="003E278A"/>
    <w:rsid w:val="003F24D5"/>
    <w:rsid w:val="003F41AA"/>
    <w:rsid w:val="004041F5"/>
    <w:rsid w:val="004320EE"/>
    <w:rsid w:val="00474BD3"/>
    <w:rsid w:val="005F4C11"/>
    <w:rsid w:val="0063641F"/>
    <w:rsid w:val="0065796B"/>
    <w:rsid w:val="00677AEC"/>
    <w:rsid w:val="006A60DB"/>
    <w:rsid w:val="006F792D"/>
    <w:rsid w:val="00724C02"/>
    <w:rsid w:val="00740A19"/>
    <w:rsid w:val="00747164"/>
    <w:rsid w:val="00770E89"/>
    <w:rsid w:val="00796FC4"/>
    <w:rsid w:val="007A396C"/>
    <w:rsid w:val="007C2549"/>
    <w:rsid w:val="00805B5F"/>
    <w:rsid w:val="00826C9C"/>
    <w:rsid w:val="008671EF"/>
    <w:rsid w:val="00972FF6"/>
    <w:rsid w:val="00973365"/>
    <w:rsid w:val="009A4C04"/>
    <w:rsid w:val="009B4175"/>
    <w:rsid w:val="009C06E5"/>
    <w:rsid w:val="00A03631"/>
    <w:rsid w:val="00A27143"/>
    <w:rsid w:val="00A42EBE"/>
    <w:rsid w:val="00A97F7C"/>
    <w:rsid w:val="00B85DAB"/>
    <w:rsid w:val="00C21BEE"/>
    <w:rsid w:val="00C66136"/>
    <w:rsid w:val="00C93FF5"/>
    <w:rsid w:val="00D24B93"/>
    <w:rsid w:val="00D95573"/>
    <w:rsid w:val="00DB7D40"/>
    <w:rsid w:val="00DD047E"/>
    <w:rsid w:val="00DF6F4F"/>
    <w:rsid w:val="00E26CDD"/>
    <w:rsid w:val="00E57E24"/>
    <w:rsid w:val="00EC08F3"/>
    <w:rsid w:val="00F17D8F"/>
    <w:rsid w:val="00F21668"/>
    <w:rsid w:val="00F81485"/>
    <w:rsid w:val="00F83C95"/>
    <w:rsid w:val="00FA69E6"/>
    <w:rsid w:val="00FC3102"/>
    <w:rsid w:val="00FF340F"/>
    <w:rsid w:val="03190DAD"/>
    <w:rsid w:val="07C82CA9"/>
    <w:rsid w:val="07DB29DD"/>
    <w:rsid w:val="0AE07BBF"/>
    <w:rsid w:val="0F754661"/>
    <w:rsid w:val="12A85BB1"/>
    <w:rsid w:val="137D0DEC"/>
    <w:rsid w:val="148B7538"/>
    <w:rsid w:val="14E51FD5"/>
    <w:rsid w:val="177EDBB5"/>
    <w:rsid w:val="17D84098"/>
    <w:rsid w:val="19406B43"/>
    <w:rsid w:val="19B117EF"/>
    <w:rsid w:val="222A0391"/>
    <w:rsid w:val="25DF6EC0"/>
    <w:rsid w:val="2674607E"/>
    <w:rsid w:val="2DD611BE"/>
    <w:rsid w:val="2F1EC454"/>
    <w:rsid w:val="31AB2B70"/>
    <w:rsid w:val="338F44F8"/>
    <w:rsid w:val="348A2F11"/>
    <w:rsid w:val="382265B1"/>
    <w:rsid w:val="383C4F2F"/>
    <w:rsid w:val="39E35223"/>
    <w:rsid w:val="3A676588"/>
    <w:rsid w:val="3B5D964E"/>
    <w:rsid w:val="3EE48782"/>
    <w:rsid w:val="3F3F8299"/>
    <w:rsid w:val="412D5350"/>
    <w:rsid w:val="44E1092B"/>
    <w:rsid w:val="46885853"/>
    <w:rsid w:val="49070678"/>
    <w:rsid w:val="493D634C"/>
    <w:rsid w:val="497F6544"/>
    <w:rsid w:val="502B5150"/>
    <w:rsid w:val="50AF7B2F"/>
    <w:rsid w:val="53163E96"/>
    <w:rsid w:val="53AB2D76"/>
    <w:rsid w:val="5C3773E5"/>
    <w:rsid w:val="5F9FBE33"/>
    <w:rsid w:val="61783F6D"/>
    <w:rsid w:val="65394467"/>
    <w:rsid w:val="658253BB"/>
    <w:rsid w:val="6841330B"/>
    <w:rsid w:val="6A244C92"/>
    <w:rsid w:val="70117A67"/>
    <w:rsid w:val="74F70776"/>
    <w:rsid w:val="75047B9A"/>
    <w:rsid w:val="770A7000"/>
    <w:rsid w:val="77FE521C"/>
    <w:rsid w:val="78CA2EA9"/>
    <w:rsid w:val="7B3E5842"/>
    <w:rsid w:val="7B83DC26"/>
    <w:rsid w:val="7CF67649"/>
    <w:rsid w:val="7DDE3C4E"/>
    <w:rsid w:val="7DFD7AB4"/>
    <w:rsid w:val="A7BF0B8C"/>
    <w:rsid w:val="B7DE20F0"/>
    <w:rsid w:val="B9EFCB2D"/>
    <w:rsid w:val="DBFD5264"/>
    <w:rsid w:val="ECEDAA57"/>
    <w:rsid w:val="EEF69374"/>
    <w:rsid w:val="F78F9524"/>
    <w:rsid w:val="F7D7EEFB"/>
    <w:rsid w:val="F7DF3CB3"/>
    <w:rsid w:val="F7FF13EE"/>
    <w:rsid w:val="F886CB7B"/>
    <w:rsid w:val="FABFA25E"/>
    <w:rsid w:val="FCDF70C5"/>
    <w:rsid w:val="FE3799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3"/>
    <w:basedOn w:val="1"/>
    <w:next w:val="1"/>
    <w:link w:val="25"/>
    <w:qFormat/>
    <w:uiPriority w:val="0"/>
    <w:pPr>
      <w:keepNext/>
      <w:keepLines/>
      <w:spacing w:before="260" w:after="260" w:line="413" w:lineRule="auto"/>
      <w:outlineLvl w:val="2"/>
    </w:pPr>
    <w:rPr>
      <w:rFonts w:eastAsia="宋体"/>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suppressAutoHyphens/>
      <w:ind w:left="420" w:leftChars="200"/>
    </w:pPr>
    <w:rPr>
      <w:rFonts w:ascii="Calibri" w:hAnsi="Calibri" w:eastAsia="宋体"/>
      <w:sz w:val="21"/>
    </w:rPr>
  </w:style>
  <w:style w:type="paragraph" w:styleId="4">
    <w:name w:val="Normal Indent"/>
    <w:basedOn w:val="1"/>
    <w:qFormat/>
    <w:uiPriority w:val="0"/>
    <w:pPr>
      <w:ind w:firstLine="420" w:firstLineChars="200"/>
    </w:pPr>
    <w:rPr>
      <w:rFonts w:eastAsia="宋体"/>
      <w:sz w:val="21"/>
    </w:rPr>
  </w:style>
  <w:style w:type="paragraph" w:styleId="5">
    <w:name w:val="caption"/>
    <w:basedOn w:val="1"/>
    <w:qFormat/>
    <w:uiPriority w:val="0"/>
    <w:pPr>
      <w:suppressLineNumbers/>
      <w:suppressAutoHyphens/>
      <w:spacing w:before="120" w:after="120"/>
    </w:pPr>
    <w:rPr>
      <w:rFonts w:ascii="Calibri" w:hAnsi="Calibri" w:eastAsia="宋体"/>
      <w:i/>
      <w:iCs/>
      <w:sz w:val="24"/>
    </w:rPr>
  </w:style>
  <w:style w:type="paragraph" w:styleId="6">
    <w:name w:val="annotation text"/>
    <w:basedOn w:val="1"/>
    <w:link w:val="26"/>
    <w:unhideWhenUsed/>
    <w:qFormat/>
    <w:uiPriority w:val="0"/>
    <w:pPr>
      <w:jc w:val="left"/>
    </w:pPr>
    <w:rPr>
      <w:szCs w:val="20"/>
    </w:rPr>
  </w:style>
  <w:style w:type="paragraph" w:styleId="7">
    <w:name w:val="Body Text"/>
    <w:basedOn w:val="1"/>
    <w:link w:val="27"/>
    <w:qFormat/>
    <w:uiPriority w:val="99"/>
    <w:pPr>
      <w:suppressAutoHyphens/>
      <w:spacing w:after="140" w:line="276" w:lineRule="auto"/>
    </w:pPr>
    <w:rPr>
      <w:rFonts w:ascii="Calibri" w:hAnsi="Calibri" w:eastAsia="宋体"/>
      <w:sz w:val="21"/>
    </w:rPr>
  </w:style>
  <w:style w:type="paragraph" w:styleId="8">
    <w:name w:val="Body Text Indent"/>
    <w:basedOn w:val="1"/>
    <w:link w:val="28"/>
    <w:qFormat/>
    <w:uiPriority w:val="0"/>
    <w:pPr>
      <w:spacing w:after="120"/>
      <w:ind w:left="420" w:leftChars="200"/>
    </w:pPr>
    <w:rPr>
      <w:szCs w:val="20"/>
    </w:rPr>
  </w:style>
  <w:style w:type="paragraph" w:styleId="9">
    <w:name w:val="Plain Text"/>
    <w:basedOn w:val="1"/>
    <w:link w:val="29"/>
    <w:qFormat/>
    <w:uiPriority w:val="0"/>
    <w:rPr>
      <w:rFonts w:ascii="宋体" w:hAnsi="Courier New" w:eastAsia="宋体" w:cs="Courier New"/>
      <w:sz w:val="21"/>
      <w:szCs w:val="21"/>
    </w:rPr>
  </w:style>
  <w:style w:type="paragraph" w:styleId="10">
    <w:name w:val="Date"/>
    <w:basedOn w:val="1"/>
    <w:next w:val="1"/>
    <w:link w:val="30"/>
    <w:qFormat/>
    <w:uiPriority w:val="0"/>
    <w:pPr>
      <w:suppressAutoHyphens/>
      <w:ind w:left="100" w:leftChars="2500"/>
    </w:pPr>
    <w:rPr>
      <w:rFonts w:ascii="Calibri" w:hAnsi="Calibri" w:eastAsia="宋体"/>
      <w:sz w:val="21"/>
    </w:rPr>
  </w:style>
  <w:style w:type="paragraph" w:styleId="11">
    <w:name w:val="Body Text Indent 2"/>
    <w:basedOn w:val="1"/>
    <w:link w:val="31"/>
    <w:qFormat/>
    <w:uiPriority w:val="0"/>
    <w:pPr>
      <w:spacing w:after="120" w:line="480" w:lineRule="auto"/>
      <w:ind w:left="420" w:leftChars="200"/>
    </w:pPr>
    <w:rPr>
      <w:rFonts w:ascii="Calibri" w:hAnsi="Calibri"/>
      <w:szCs w:val="20"/>
    </w:rPr>
  </w:style>
  <w:style w:type="paragraph" w:styleId="12">
    <w:name w:val="Balloon Text"/>
    <w:basedOn w:val="1"/>
    <w:link w:val="32"/>
    <w:qFormat/>
    <w:uiPriority w:val="0"/>
    <w:rPr>
      <w:sz w:val="18"/>
      <w:szCs w:val="18"/>
    </w:rPr>
  </w:style>
  <w:style w:type="paragraph" w:styleId="13">
    <w:name w:val="footer"/>
    <w:basedOn w:val="1"/>
    <w:link w:val="33"/>
    <w:qFormat/>
    <w:uiPriority w:val="0"/>
    <w:pPr>
      <w:tabs>
        <w:tab w:val="center" w:pos="4153"/>
        <w:tab w:val="right" w:pos="8306"/>
      </w:tabs>
      <w:snapToGrid w:val="0"/>
      <w:jc w:val="left"/>
    </w:pPr>
    <w:rPr>
      <w:sz w:val="18"/>
      <w:szCs w:val="20"/>
    </w:rPr>
  </w:style>
  <w:style w:type="paragraph" w:styleId="14">
    <w:name w:val="header"/>
    <w:basedOn w:val="1"/>
    <w:link w:val="34"/>
    <w:qFormat/>
    <w:uiPriority w:val="0"/>
    <w:pPr>
      <w:pBdr>
        <w:bottom w:val="single" w:color="auto" w:sz="6" w:space="1"/>
      </w:pBdr>
      <w:tabs>
        <w:tab w:val="center" w:pos="4153"/>
        <w:tab w:val="right" w:pos="8306"/>
      </w:tabs>
      <w:snapToGrid w:val="0"/>
      <w:jc w:val="center"/>
    </w:pPr>
    <w:rPr>
      <w:sz w:val="18"/>
      <w:szCs w:val="20"/>
    </w:rPr>
  </w:style>
  <w:style w:type="paragraph" w:styleId="15">
    <w:name w:val="List"/>
    <w:basedOn w:val="7"/>
    <w:qFormat/>
    <w:uiPriority w:val="0"/>
  </w:style>
  <w:style w:type="paragraph" w:styleId="16">
    <w:name w:val="Normal (Web)"/>
    <w:basedOn w:val="1"/>
    <w:qFormat/>
    <w:uiPriority w:val="0"/>
    <w:pPr>
      <w:widowControl/>
      <w:suppressAutoHyphens/>
      <w:spacing w:before="100" w:beforeAutospacing="1" w:after="100" w:afterAutospacing="1"/>
      <w:jc w:val="left"/>
    </w:pPr>
    <w:rPr>
      <w:rFonts w:ascii="宋体" w:hAnsi="宋体" w:eastAsia="宋体" w:cs="宋体"/>
      <w:kern w:val="0"/>
      <w:sz w:val="24"/>
    </w:rPr>
  </w:style>
  <w:style w:type="paragraph" w:styleId="17">
    <w:name w:val="Body Text First Indent 2"/>
    <w:basedOn w:val="8"/>
    <w:next w:val="1"/>
    <w:link w:val="35"/>
    <w:qFormat/>
    <w:uiPriority w:val="0"/>
    <w:pPr>
      <w:ind w:firstLine="420"/>
    </w:pPr>
    <w:rPr>
      <w:kern w:val="1"/>
      <w:szCs w:val="24"/>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qFormat/>
    <w:uiPriority w:val="0"/>
    <w:rPr>
      <w:rFonts w:ascii="Times New Roman" w:hAnsi="Times New Roman" w:eastAsia="宋体" w:cs="Times New Roman"/>
      <w:b/>
    </w:rPr>
  </w:style>
  <w:style w:type="character" w:styleId="22">
    <w:name w:val="page number"/>
    <w:basedOn w:val="20"/>
    <w:qFormat/>
    <w:uiPriority w:val="0"/>
  </w:style>
  <w:style w:type="character" w:styleId="23">
    <w:name w:val="Emphasis"/>
    <w:qFormat/>
    <w:uiPriority w:val="0"/>
    <w:rPr>
      <w:rFonts w:ascii="Times New Roman" w:hAnsi="Times New Roman" w:eastAsia="宋体" w:cs="Times New Roman"/>
      <w:i/>
    </w:rPr>
  </w:style>
  <w:style w:type="character" w:styleId="24">
    <w:name w:val="Hyperlink"/>
    <w:qFormat/>
    <w:uiPriority w:val="0"/>
    <w:rPr>
      <w:rFonts w:ascii="Times New Roman" w:hAnsi="Times New Roman" w:eastAsia="宋体" w:cs="Times New Roman"/>
      <w:color w:val="0000FF"/>
      <w:u w:val="single"/>
    </w:rPr>
  </w:style>
  <w:style w:type="character" w:customStyle="1" w:styleId="25">
    <w:name w:val="标题 3 Char"/>
    <w:link w:val="3"/>
    <w:qFormat/>
    <w:uiPriority w:val="0"/>
    <w:rPr>
      <w:rFonts w:ascii="Times New Roman" w:hAnsi="Times New Roman" w:eastAsia="宋体" w:cs="Times New Roman"/>
      <w:b/>
      <w:bCs/>
      <w:sz w:val="32"/>
      <w:szCs w:val="32"/>
    </w:rPr>
  </w:style>
  <w:style w:type="character" w:customStyle="1" w:styleId="26">
    <w:name w:val="批注文字 Char"/>
    <w:link w:val="6"/>
    <w:qFormat/>
    <w:uiPriority w:val="0"/>
    <w:rPr>
      <w:rFonts w:ascii="Times New Roman" w:hAnsi="Times New Roman" w:eastAsia="仿宋_GB2312" w:cs="Times New Roman"/>
      <w:sz w:val="32"/>
      <w:szCs w:val="20"/>
    </w:rPr>
  </w:style>
  <w:style w:type="character" w:customStyle="1" w:styleId="27">
    <w:name w:val="正文文本 Char"/>
    <w:link w:val="7"/>
    <w:qFormat/>
    <w:uiPriority w:val="99"/>
    <w:rPr>
      <w:rFonts w:ascii="Times New Roman" w:hAnsi="Times New Roman" w:eastAsia="宋体" w:cs="Times New Roman"/>
    </w:rPr>
  </w:style>
  <w:style w:type="character" w:customStyle="1" w:styleId="28">
    <w:name w:val="正文文本缩进 Char"/>
    <w:link w:val="8"/>
    <w:qFormat/>
    <w:uiPriority w:val="0"/>
    <w:rPr>
      <w:rFonts w:ascii="Times New Roman" w:hAnsi="Times New Roman" w:eastAsia="仿宋_GB2312" w:cs="Times New Roman"/>
      <w:sz w:val="32"/>
      <w:szCs w:val="20"/>
    </w:rPr>
  </w:style>
  <w:style w:type="character" w:customStyle="1" w:styleId="29">
    <w:name w:val="纯文本 Char"/>
    <w:link w:val="9"/>
    <w:qFormat/>
    <w:uiPriority w:val="0"/>
    <w:rPr>
      <w:rFonts w:ascii="宋体" w:hAnsi="Courier New" w:eastAsia="宋体" w:cs="Courier New"/>
      <w:szCs w:val="21"/>
    </w:rPr>
  </w:style>
  <w:style w:type="character" w:customStyle="1" w:styleId="30">
    <w:name w:val="日期 Char"/>
    <w:link w:val="10"/>
    <w:qFormat/>
    <w:uiPriority w:val="0"/>
    <w:rPr>
      <w:rFonts w:ascii="Times New Roman" w:hAnsi="Times New Roman" w:eastAsia="宋体" w:cs="Times New Roman"/>
    </w:rPr>
  </w:style>
  <w:style w:type="character" w:customStyle="1" w:styleId="31">
    <w:name w:val="正文文本缩进 2 Char"/>
    <w:link w:val="11"/>
    <w:qFormat/>
    <w:uiPriority w:val="0"/>
    <w:rPr>
      <w:rFonts w:ascii="Times New Roman" w:hAnsi="Times New Roman" w:eastAsia="仿宋_GB2312" w:cs="Times New Roman"/>
      <w:sz w:val="32"/>
      <w:szCs w:val="20"/>
    </w:rPr>
  </w:style>
  <w:style w:type="character" w:customStyle="1" w:styleId="32">
    <w:name w:val="批注框文本 Char"/>
    <w:link w:val="12"/>
    <w:qFormat/>
    <w:uiPriority w:val="0"/>
    <w:rPr>
      <w:rFonts w:ascii="Times New Roman" w:hAnsi="Times New Roman" w:eastAsia="仿宋_GB2312" w:cs="Times New Roman"/>
      <w:sz w:val="18"/>
      <w:szCs w:val="18"/>
    </w:rPr>
  </w:style>
  <w:style w:type="character" w:customStyle="1" w:styleId="33">
    <w:name w:val="页脚 Char"/>
    <w:link w:val="13"/>
    <w:qFormat/>
    <w:uiPriority w:val="0"/>
    <w:rPr>
      <w:rFonts w:ascii="Times New Roman" w:hAnsi="Times New Roman" w:eastAsia="宋体" w:cs="Times New Roman"/>
      <w:sz w:val="18"/>
      <w:szCs w:val="20"/>
    </w:rPr>
  </w:style>
  <w:style w:type="character" w:customStyle="1" w:styleId="34">
    <w:name w:val="页眉 Char"/>
    <w:link w:val="14"/>
    <w:qFormat/>
    <w:uiPriority w:val="0"/>
    <w:rPr>
      <w:rFonts w:ascii="Times New Roman" w:hAnsi="Times New Roman" w:eastAsia="宋体" w:cs="Times New Roman"/>
      <w:sz w:val="18"/>
      <w:szCs w:val="20"/>
    </w:rPr>
  </w:style>
  <w:style w:type="character" w:customStyle="1" w:styleId="35">
    <w:name w:val="正文首行缩进 2 Char"/>
    <w:link w:val="17"/>
    <w:qFormat/>
    <w:uiPriority w:val="0"/>
    <w:rPr>
      <w:rFonts w:ascii="Times New Roman" w:hAnsi="Times New Roman" w:eastAsia="宋体" w:cs="Times New Roman"/>
      <w:kern w:val="1"/>
      <w:szCs w:val="24"/>
    </w:rPr>
  </w:style>
  <w:style w:type="character" w:customStyle="1" w:styleId="36">
    <w:name w:val="默认段落字体1"/>
    <w:qFormat/>
    <w:uiPriority w:val="0"/>
    <w:rPr>
      <w:rFonts w:ascii="Times New Roman" w:hAnsi="Times New Roman" w:eastAsia="宋体" w:cs="Times New Roman"/>
    </w:rPr>
  </w:style>
  <w:style w:type="paragraph" w:customStyle="1" w:styleId="37">
    <w:name w:val="Heading"/>
    <w:basedOn w:val="1"/>
    <w:next w:val="7"/>
    <w:qFormat/>
    <w:uiPriority w:val="0"/>
    <w:pPr>
      <w:keepNext/>
      <w:suppressAutoHyphens/>
      <w:spacing w:before="240" w:after="120"/>
    </w:pPr>
    <w:rPr>
      <w:rFonts w:ascii="Liberation Sans" w:hAnsi="Liberation Sans" w:eastAsia="Noto Sans CJK SC Regular" w:cs="Noto Sans CJK SC Regular"/>
      <w:sz w:val="28"/>
      <w:szCs w:val="28"/>
    </w:rPr>
  </w:style>
  <w:style w:type="paragraph" w:customStyle="1" w:styleId="38">
    <w:name w:val="Index"/>
    <w:basedOn w:val="1"/>
    <w:qFormat/>
    <w:uiPriority w:val="0"/>
    <w:pPr>
      <w:suppressLineNumbers/>
      <w:suppressAutoHyphens/>
    </w:pPr>
    <w:rPr>
      <w:rFonts w:ascii="Calibri" w:hAnsi="Calibri" w:eastAsia="宋体"/>
      <w:sz w:val="21"/>
    </w:rPr>
  </w:style>
  <w:style w:type="paragraph" w:customStyle="1" w:styleId="39">
    <w:name w:val="Default"/>
    <w:unhideWhenUsed/>
    <w:qFormat/>
    <w:uiPriority w:val="99"/>
    <w:pPr>
      <w:widowControl w:val="0"/>
      <w:autoSpaceDE w:val="0"/>
      <w:autoSpaceDN w:val="0"/>
      <w:adjustRightInd w:val="0"/>
    </w:pPr>
    <w:rPr>
      <w:rFonts w:hint="eastAsia" w:ascii="方正仿宋_GBK" w:hAnsi="方正仿宋_GBK" w:eastAsia="方正仿宋_GBK" w:cs="Times New Roman"/>
      <w:color w:val="000000"/>
      <w:sz w:val="24"/>
      <w:szCs w:val="22"/>
      <w:lang w:val="en-US" w:eastAsia="zh-CN" w:bidi="ar-SA"/>
    </w:rPr>
  </w:style>
  <w:style w:type="character" w:customStyle="1" w:styleId="40">
    <w:name w:val="font41"/>
    <w:qFormat/>
    <w:uiPriority w:val="0"/>
    <w:rPr>
      <w:rFonts w:ascii="仿宋_GB2312" w:hAnsi="Times New Roman" w:eastAsia="仿宋_GB2312" w:cs="仿宋_GB2312"/>
      <w:color w:val="000000"/>
      <w:sz w:val="20"/>
      <w:szCs w:val="20"/>
      <w:u w:val="none"/>
    </w:rPr>
  </w:style>
  <w:style w:type="character" w:customStyle="1" w:styleId="41">
    <w:name w:val="font91"/>
    <w:qFormat/>
    <w:uiPriority w:val="0"/>
    <w:rPr>
      <w:rFonts w:hint="default" w:ascii="Times New Roman" w:hAnsi="Times New Roman" w:eastAsia="宋体" w:cs="Times New Roman"/>
      <w:color w:val="000000"/>
      <w:sz w:val="20"/>
      <w:szCs w:val="20"/>
      <w:u w:val="none"/>
    </w:rPr>
  </w:style>
  <w:style w:type="character" w:customStyle="1" w:styleId="42">
    <w:name w:val="font01"/>
    <w:qFormat/>
    <w:uiPriority w:val="0"/>
    <w:rPr>
      <w:rFonts w:hint="eastAsia" w:ascii="仿宋_GB2312" w:hAnsi="Times New Roman" w:eastAsia="仿宋_GB2312" w:cs="仿宋_GB2312"/>
      <w:color w:val="000000"/>
      <w:sz w:val="20"/>
      <w:szCs w:val="20"/>
      <w:u w:val="none"/>
    </w:rPr>
  </w:style>
  <w:style w:type="character" w:customStyle="1" w:styleId="43">
    <w:name w:val="ask-title"/>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1026" textRotate="1"/>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44</Pages>
  <Words>4515</Words>
  <Characters>4570</Characters>
  <Lines>126</Lines>
  <Paragraphs>35</Paragraphs>
  <TotalTime>12</TotalTime>
  <ScaleCrop>false</ScaleCrop>
  <LinksUpToDate>false</LinksUpToDate>
  <CharactersWithSpaces>5878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2022-05-18T03:14:00Z</dcterms:created>
  <dc:creator>Epoint</dc:creator>
  <cp:lastModifiedBy>Sing</cp:lastModifiedBy>
  <dcterms:modified xsi:type="dcterms:W3CDTF">2026-04-17T02:02:28Z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9205004FF8BC440296BEF28EE4968E9C_13</vt:lpwstr>
  </property>
  <property fmtid="{D5CDD505-2E9C-101B-9397-08002B2CF9AE}" pid="4" name="KSOTemplateDocerSaveRecord">
    <vt:lpwstr>eyJoZGlkIjoiMTkyMzg1YjM3NGNkZjFlNDlmNWJiMjJjZTM5NzU4NjAiLCJ1c2VySWQiOiI0NTU0Mzg4ODMifQ==</vt:lpwstr>
  </property>
</Properties>
</file>